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023D89B">
      <w:pPr>
        <w:spacing w:line="560" w:lineRule="exact"/>
        <w:jc w:val="center"/>
        <w:outlineLvl w:val="1"/>
        <w:rPr>
          <w:rFonts w:hint="eastAsia" w:ascii="Times New Roman" w:hAnsi="Times New Roman" w:eastAsia="方正小标宋简体" w:cs="Times New Roman"/>
          <w:b w:val="0"/>
          <w:bCs w:val="0"/>
          <w:sz w:val="44"/>
          <w:szCs w:val="44"/>
          <w:highlight w:val="none"/>
        </w:rPr>
      </w:pPr>
      <w:r>
        <w:rPr>
          <w:rFonts w:hint="eastAsia" w:ascii="Times New Roman" w:hAnsi="Times New Roman" w:eastAsia="方正小标宋简体" w:cs="Times New Roman"/>
          <w:b w:val="0"/>
          <w:bCs w:val="0"/>
          <w:sz w:val="44"/>
          <w:szCs w:val="44"/>
          <w:highlight w:val="none"/>
          <w:lang w:val="en-US" w:eastAsia="zh-CN"/>
        </w:rPr>
        <w:t>黄石市</w:t>
      </w:r>
      <w:r>
        <w:rPr>
          <w:rFonts w:hint="eastAsia" w:ascii="Times New Roman" w:hAnsi="Times New Roman" w:eastAsia="方正小标宋简体" w:cs="Times New Roman"/>
          <w:b w:val="0"/>
          <w:bCs w:val="0"/>
          <w:sz w:val="44"/>
          <w:szCs w:val="44"/>
          <w:highlight w:val="none"/>
        </w:rPr>
        <w:t>美丽城市建设实施方案</w:t>
      </w:r>
    </w:p>
    <w:p w14:paraId="443D5E57">
      <w:pPr>
        <w:spacing w:line="560" w:lineRule="exact"/>
        <w:jc w:val="center"/>
        <w:rPr>
          <w:rFonts w:hint="eastAsia" w:ascii="楷体_GB2312" w:hAnsi="楷体_GB2312" w:eastAsia="楷体_GB2312" w:cs="楷体_GB2312"/>
          <w:b w:val="0"/>
          <w:bCs w:val="0"/>
          <w:sz w:val="32"/>
          <w:szCs w:val="32"/>
          <w:highlight w:val="none"/>
          <w:lang w:eastAsia="zh-CN"/>
        </w:rPr>
      </w:pPr>
      <w:r>
        <w:rPr>
          <w:rFonts w:hint="eastAsia" w:ascii="楷体_GB2312" w:hAnsi="楷体_GB2312" w:eastAsia="楷体_GB2312" w:cs="楷体_GB2312"/>
          <w:b w:val="0"/>
          <w:bCs w:val="0"/>
          <w:sz w:val="32"/>
          <w:szCs w:val="32"/>
          <w:highlight w:val="none"/>
          <w:lang w:eastAsia="zh-CN"/>
        </w:rPr>
        <w:t>（</w:t>
      </w:r>
      <w:r>
        <w:rPr>
          <w:rFonts w:hint="eastAsia" w:ascii="楷体_GB2312" w:hAnsi="楷体_GB2312" w:eastAsia="楷体_GB2312" w:cs="楷体_GB2312"/>
          <w:b w:val="0"/>
          <w:bCs w:val="0"/>
          <w:sz w:val="32"/>
          <w:szCs w:val="32"/>
          <w:highlight w:val="none"/>
          <w:lang w:val="en-US" w:eastAsia="zh-CN"/>
        </w:rPr>
        <w:t>征求意见稿</w:t>
      </w:r>
      <w:r>
        <w:rPr>
          <w:rFonts w:hint="eastAsia" w:ascii="楷体_GB2312" w:hAnsi="楷体_GB2312" w:eastAsia="楷体_GB2312" w:cs="楷体_GB2312"/>
          <w:b w:val="0"/>
          <w:bCs w:val="0"/>
          <w:sz w:val="32"/>
          <w:szCs w:val="32"/>
          <w:highlight w:val="none"/>
          <w:lang w:eastAsia="zh-CN"/>
        </w:rPr>
        <w:t>）</w:t>
      </w:r>
    </w:p>
    <w:p w14:paraId="457C3DE3">
      <w:pPr>
        <w:spacing w:line="560" w:lineRule="exact"/>
        <w:ind w:firstLine="640" w:firstLineChars="200"/>
        <w:jc w:val="both"/>
        <w:rPr>
          <w:rFonts w:hint="eastAsia" w:ascii="Times New Roman" w:hAnsi="Times New Roman" w:eastAsia="仿宋_GB2312" w:cs="仿宋_GB2312"/>
          <w:b w:val="0"/>
          <w:bCs w:val="0"/>
          <w:sz w:val="32"/>
          <w:szCs w:val="32"/>
          <w:highlight w:val="none"/>
        </w:rPr>
      </w:pPr>
    </w:p>
    <w:p w14:paraId="6B725F06">
      <w:pPr>
        <w:spacing w:line="560" w:lineRule="exact"/>
        <w:ind w:firstLine="640" w:firstLineChars="200"/>
        <w:jc w:val="both"/>
        <w:rPr>
          <w:rFonts w:hint="eastAsia" w:ascii="Times New Roman" w:hAnsi="Times New Roman" w:eastAsia="仿宋_GB2312" w:cs="仿宋_GB2312"/>
          <w:b w:val="0"/>
          <w:bCs w:val="0"/>
          <w:sz w:val="32"/>
          <w:szCs w:val="32"/>
          <w:highlight w:val="none"/>
          <w:lang w:eastAsia="zh-CN"/>
        </w:rPr>
      </w:pPr>
      <w:bookmarkStart w:id="2" w:name="_GoBack"/>
      <w:bookmarkEnd w:id="2"/>
      <w:r>
        <w:rPr>
          <w:rFonts w:hint="eastAsia" w:ascii="Times New Roman" w:hAnsi="Times New Roman" w:eastAsia="仿宋_GB2312" w:cs="仿宋_GB2312"/>
          <w:b w:val="0"/>
          <w:bCs w:val="0"/>
          <w:sz w:val="32"/>
          <w:szCs w:val="32"/>
          <w:highlight w:val="none"/>
        </w:rPr>
        <w:t>为贯彻落实生态环境部、中央宣传部等部门《关于印发</w:t>
      </w:r>
      <w:r>
        <w:rPr>
          <w:rFonts w:hint="eastAsia" w:ascii="Times New Roman" w:hAnsi="Times New Roman" w:eastAsia="仿宋_GB2312" w:cs="仿宋_GB2312"/>
          <w:b w:val="0"/>
          <w:bCs w:val="0"/>
          <w:sz w:val="32"/>
          <w:szCs w:val="32"/>
          <w:highlight w:val="none"/>
          <w:lang w:eastAsia="zh-CN"/>
        </w:rPr>
        <w:t>〈</w:t>
      </w:r>
      <w:r>
        <w:rPr>
          <w:rFonts w:hint="eastAsia" w:ascii="Times New Roman" w:hAnsi="Times New Roman" w:eastAsia="仿宋_GB2312" w:cs="仿宋_GB2312"/>
          <w:b w:val="0"/>
          <w:bCs w:val="0"/>
          <w:sz w:val="32"/>
          <w:szCs w:val="32"/>
          <w:highlight w:val="none"/>
        </w:rPr>
        <w:t>美丽城市建设实施方案</w:t>
      </w:r>
      <w:r>
        <w:rPr>
          <w:rFonts w:hint="eastAsia" w:ascii="Times New Roman" w:hAnsi="Times New Roman" w:eastAsia="仿宋_GB2312" w:cs="仿宋_GB2312"/>
          <w:b w:val="0"/>
          <w:bCs w:val="0"/>
          <w:sz w:val="32"/>
          <w:szCs w:val="32"/>
          <w:highlight w:val="none"/>
          <w:lang w:eastAsia="zh-CN"/>
        </w:rPr>
        <w:t>〉的通知》</w:t>
      </w:r>
      <w:r>
        <w:rPr>
          <w:rFonts w:hint="eastAsia" w:ascii="Times New Roman" w:hAnsi="Times New Roman" w:eastAsia="仿宋_GB2312" w:cs="仿宋_GB2312"/>
          <w:b w:val="0"/>
          <w:bCs w:val="0"/>
          <w:sz w:val="32"/>
          <w:szCs w:val="32"/>
          <w:highlight w:val="none"/>
        </w:rPr>
        <w:t>（环综司函〔2025〕1号）、《中共湖北省委湖北省人民政府关于全面推进美丽湖北建设的实施意见》（鄂发〔2024〕11号）</w:t>
      </w:r>
      <w:r>
        <w:rPr>
          <w:rFonts w:hint="eastAsia" w:ascii="Times New Roman" w:hAnsi="Times New Roman" w:eastAsia="仿宋_GB2312" w:cs="仿宋_GB2312"/>
          <w:b w:val="0"/>
          <w:bCs w:val="0"/>
          <w:sz w:val="32"/>
          <w:szCs w:val="32"/>
          <w:highlight w:val="none"/>
          <w:lang w:eastAsia="zh-CN"/>
        </w:rPr>
        <w:t>、《</w:t>
      </w:r>
      <w:r>
        <w:rPr>
          <w:rFonts w:hint="eastAsia" w:ascii="Times New Roman" w:hAnsi="Times New Roman" w:eastAsia="仿宋_GB2312" w:cs="仿宋_GB2312"/>
          <w:b w:val="0"/>
          <w:bCs w:val="0"/>
          <w:sz w:val="32"/>
          <w:szCs w:val="32"/>
          <w:highlight w:val="none"/>
          <w:lang w:val="en-US" w:eastAsia="zh-CN"/>
        </w:rPr>
        <w:t>湖北省美丽城市建设工作方案</w:t>
      </w:r>
      <w:r>
        <w:rPr>
          <w:rFonts w:hint="eastAsia" w:ascii="Times New Roman" w:hAnsi="Times New Roman" w:eastAsia="仿宋_GB2312" w:cs="仿宋_GB2312"/>
          <w:b w:val="0"/>
          <w:bCs w:val="0"/>
          <w:sz w:val="32"/>
          <w:szCs w:val="32"/>
          <w:highlight w:val="none"/>
          <w:lang w:eastAsia="zh-CN"/>
        </w:rPr>
        <w:t>》（鄂环发〔2025〕11号）</w:t>
      </w:r>
      <w:r>
        <w:rPr>
          <w:rFonts w:hint="eastAsia" w:ascii="Times New Roman" w:hAnsi="Times New Roman" w:eastAsia="仿宋_GB2312" w:cs="仿宋_GB2312"/>
          <w:b w:val="0"/>
          <w:bCs w:val="0"/>
          <w:sz w:val="32"/>
          <w:szCs w:val="32"/>
          <w:highlight w:val="none"/>
        </w:rPr>
        <w:t>等文件</w:t>
      </w:r>
      <w:r>
        <w:rPr>
          <w:rFonts w:hint="eastAsia" w:ascii="Times New Roman" w:hAnsi="Times New Roman" w:eastAsia="仿宋_GB2312" w:cs="仿宋_GB2312"/>
          <w:b w:val="0"/>
          <w:bCs w:val="0"/>
          <w:sz w:val="32"/>
          <w:szCs w:val="32"/>
          <w:highlight w:val="none"/>
          <w:lang w:eastAsia="zh-CN"/>
        </w:rPr>
        <w:t>要求</w:t>
      </w:r>
      <w:r>
        <w:rPr>
          <w:rFonts w:hint="eastAsia" w:ascii="Times New Roman" w:hAnsi="Times New Roman" w:eastAsia="仿宋_GB2312" w:cs="仿宋_GB2312"/>
          <w:b w:val="0"/>
          <w:bCs w:val="0"/>
          <w:sz w:val="32"/>
          <w:szCs w:val="32"/>
          <w:highlight w:val="none"/>
        </w:rPr>
        <w:t>，扎实推进美丽城市建设，结合我市实际，制定本</w:t>
      </w:r>
      <w:r>
        <w:rPr>
          <w:rFonts w:hint="eastAsia" w:ascii="Times New Roman" w:hAnsi="Times New Roman" w:eastAsia="仿宋_GB2312" w:cs="仿宋_GB2312"/>
          <w:b w:val="0"/>
          <w:bCs w:val="0"/>
          <w:sz w:val="32"/>
          <w:szCs w:val="32"/>
          <w:highlight w:val="none"/>
          <w:lang w:eastAsia="zh-CN"/>
        </w:rPr>
        <w:t>实施</w:t>
      </w:r>
      <w:r>
        <w:rPr>
          <w:rFonts w:hint="eastAsia" w:ascii="Times New Roman" w:hAnsi="Times New Roman" w:eastAsia="仿宋_GB2312" w:cs="仿宋_GB2312"/>
          <w:b w:val="0"/>
          <w:bCs w:val="0"/>
          <w:sz w:val="32"/>
          <w:szCs w:val="32"/>
          <w:highlight w:val="none"/>
        </w:rPr>
        <w:t>方案。</w:t>
      </w:r>
    </w:p>
    <w:p w14:paraId="0E2B732A">
      <w:pPr>
        <w:adjustRightInd w:val="0"/>
        <w:spacing w:line="560" w:lineRule="exact"/>
        <w:ind w:firstLine="640" w:firstLineChars="200"/>
        <w:jc w:val="both"/>
        <w:outlineLvl w:val="0"/>
        <w:rPr>
          <w:rFonts w:ascii="Times New Roman" w:hAnsi="Times New Roman" w:eastAsia="黑体" w:cs="Times New Roman"/>
          <w:b w:val="0"/>
          <w:bCs w:val="0"/>
          <w:sz w:val="32"/>
          <w:highlight w:val="none"/>
        </w:rPr>
      </w:pPr>
      <w:bookmarkStart w:id="0" w:name="_Toc21915"/>
      <w:r>
        <w:rPr>
          <w:rFonts w:ascii="Times New Roman" w:hAnsi="Times New Roman" w:eastAsia="黑体" w:cs="Times New Roman"/>
          <w:b w:val="0"/>
          <w:bCs w:val="0"/>
          <w:sz w:val="32"/>
          <w:highlight w:val="none"/>
        </w:rPr>
        <w:t>一、总体要求</w:t>
      </w:r>
      <w:bookmarkEnd w:id="0"/>
    </w:p>
    <w:p w14:paraId="24C58E0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Calibri" w:hAnsi="Calibri" w:eastAsia="宋体" w:cs="Times New Roman"/>
          <w:b w:val="0"/>
          <w:bCs w:val="0"/>
          <w:highlight w:val="none"/>
          <w:lang w:val="en-US" w:eastAsia="zh-CN"/>
        </w:rPr>
      </w:pPr>
      <w:r>
        <w:rPr>
          <w:rFonts w:hint="eastAsia" w:ascii="Times New Roman" w:hAnsi="Times New Roman" w:eastAsia="仿宋_GB2312" w:cs="仿宋_GB2312"/>
          <w:b w:val="0"/>
          <w:bCs w:val="0"/>
          <w:kern w:val="2"/>
          <w:sz w:val="32"/>
          <w:szCs w:val="32"/>
          <w:highlight w:val="none"/>
          <w:lang w:val="en-US" w:eastAsia="zh-CN" w:bidi="ar-SA"/>
        </w:rPr>
        <w:t>以习近平新时代中国特色社会主义思想为指导，全面贯彻党的二十大和二十届历次全会精神，深入落实习近平总书记考察湖北重要讲话精神，坚持人民城市人民建、人民城市为人民，聚焦城市生态环境重点领域和突出短板，以绿色低碳、环境优美、生态宜居、安全健康、智慧高效为导向，</w:t>
      </w:r>
      <w:r>
        <w:rPr>
          <w:rFonts w:ascii="Times New Roman" w:hAnsi="Times New Roman" w:eastAsia="仿宋_GB2312" w:cs="Times New Roman"/>
          <w:b w:val="0"/>
          <w:bCs w:val="0"/>
          <w:sz w:val="32"/>
          <w:szCs w:val="32"/>
          <w:highlight w:val="none"/>
        </w:rPr>
        <w:t>锚定美丽中国先行区</w:t>
      </w:r>
      <w:r>
        <w:rPr>
          <w:rFonts w:hint="eastAsia" w:ascii="Times New Roman" w:hAnsi="Times New Roman" w:eastAsia="仿宋_GB2312" w:cs="Times New Roman"/>
          <w:b w:val="0"/>
          <w:bCs w:val="0"/>
          <w:sz w:val="32"/>
          <w:szCs w:val="32"/>
          <w:highlight w:val="none"/>
          <w:lang w:eastAsia="zh-CN"/>
        </w:rPr>
        <w:t>、</w:t>
      </w:r>
      <w:r>
        <w:rPr>
          <w:rFonts w:hint="eastAsia" w:ascii="Times New Roman" w:hAnsi="Times New Roman" w:eastAsia="仿宋_GB2312" w:cs="Times New Roman"/>
          <w:b w:val="0"/>
          <w:bCs w:val="0"/>
          <w:sz w:val="32"/>
          <w:szCs w:val="32"/>
          <w:highlight w:val="none"/>
          <w:lang w:val="en-US" w:eastAsia="zh-CN"/>
        </w:rPr>
        <w:t>国家生态文明建设示范市</w:t>
      </w:r>
      <w:r>
        <w:rPr>
          <w:rFonts w:ascii="Times New Roman" w:hAnsi="Times New Roman" w:eastAsia="仿宋_GB2312" w:cs="Times New Roman"/>
          <w:b w:val="0"/>
          <w:bCs w:val="0"/>
          <w:sz w:val="32"/>
          <w:szCs w:val="32"/>
          <w:highlight w:val="none"/>
        </w:rPr>
        <w:t>建设</w:t>
      </w:r>
      <w:r>
        <w:rPr>
          <w:rFonts w:hint="eastAsia" w:ascii="Times New Roman" w:hAnsi="Times New Roman" w:eastAsia="仿宋_GB2312" w:cs="Times New Roman"/>
          <w:b w:val="0"/>
          <w:bCs w:val="0"/>
          <w:sz w:val="32"/>
          <w:szCs w:val="32"/>
          <w:highlight w:val="none"/>
          <w:lang w:eastAsia="zh-CN"/>
        </w:rPr>
        <w:t>，</w:t>
      </w:r>
      <w:r>
        <w:rPr>
          <w:rFonts w:hint="eastAsia" w:ascii="Times New Roman" w:hAnsi="Times New Roman" w:eastAsia="仿宋_GB2312" w:cs="Times New Roman"/>
          <w:b w:val="0"/>
          <w:bCs w:val="0"/>
          <w:sz w:val="32"/>
          <w:szCs w:val="32"/>
          <w:highlight w:val="none"/>
          <w:lang w:val="en-US" w:eastAsia="zh-CN"/>
        </w:rPr>
        <w:t>构筑“</w:t>
      </w:r>
      <w:r>
        <w:rPr>
          <w:rFonts w:hint="eastAsia" w:ascii="Times New Roman" w:hAnsi="Times New Roman" w:eastAsia="仿宋_GB2312" w:cs="仿宋_GB2312"/>
          <w:b w:val="0"/>
          <w:bCs w:val="0"/>
          <w:kern w:val="2"/>
          <w:sz w:val="32"/>
          <w:szCs w:val="32"/>
          <w:highlight w:val="none"/>
          <w:lang w:val="en-US" w:eastAsia="zh-CN" w:bidi="ar-SA"/>
        </w:rPr>
        <w:t>山－水－湖－城</w:t>
      </w:r>
      <w:r>
        <w:rPr>
          <w:rFonts w:hint="eastAsia" w:ascii="Times New Roman" w:hAnsi="Times New Roman" w:eastAsia="仿宋_GB2312" w:cs="Times New Roman"/>
          <w:b w:val="0"/>
          <w:bCs w:val="0"/>
          <w:sz w:val="32"/>
          <w:szCs w:val="32"/>
          <w:highlight w:val="none"/>
          <w:lang w:val="en-US" w:eastAsia="zh-CN"/>
        </w:rPr>
        <w:t>”</w:t>
      </w:r>
      <w:r>
        <w:rPr>
          <w:rFonts w:hint="eastAsia" w:ascii="Times New Roman" w:hAnsi="Times New Roman" w:eastAsia="仿宋_GB2312" w:cs="仿宋_GB2312"/>
          <w:b w:val="0"/>
          <w:bCs w:val="0"/>
          <w:kern w:val="2"/>
          <w:sz w:val="32"/>
          <w:szCs w:val="32"/>
          <w:highlight w:val="none"/>
          <w:lang w:val="en-US" w:eastAsia="zh-CN" w:bidi="ar-SA"/>
        </w:rPr>
        <w:t>交织城市肌理，</w:t>
      </w:r>
      <w:r>
        <w:rPr>
          <w:rFonts w:hint="eastAsia" w:ascii="Times New Roman" w:hAnsi="Times New Roman" w:eastAsia="仿宋_GB2312" w:cs="Times New Roman"/>
          <w:b w:val="0"/>
          <w:bCs w:val="0"/>
          <w:sz w:val="32"/>
          <w:szCs w:val="32"/>
          <w:highlight w:val="none"/>
          <w:lang w:val="en-US" w:eastAsia="zh-CN"/>
        </w:rPr>
        <w:t>深化老工业城市绿色升级，提升城市生态承载力，</w:t>
      </w:r>
      <w:r>
        <w:rPr>
          <w:rFonts w:hint="eastAsia" w:ascii="Times New Roman" w:hAnsi="Times New Roman" w:eastAsia="仿宋_GB2312" w:cs="仿宋_GB2312"/>
          <w:b w:val="0"/>
          <w:bCs w:val="0"/>
          <w:kern w:val="2"/>
          <w:sz w:val="32"/>
          <w:szCs w:val="32"/>
          <w:highlight w:val="none"/>
          <w:lang w:val="en-US" w:eastAsia="zh-CN" w:bidi="ar-SA"/>
        </w:rPr>
        <w:t>高标准建设“山水园林工业城”，</w:t>
      </w:r>
      <w:r>
        <w:rPr>
          <w:rFonts w:hint="eastAsia" w:ascii="Calibri" w:hAnsi="Times New Roman" w:eastAsia="仿宋_GB2312" w:cs="仿宋_GB2312"/>
          <w:b w:val="0"/>
          <w:bCs w:val="0"/>
          <w:kern w:val="2"/>
          <w:sz w:val="32"/>
          <w:szCs w:val="32"/>
          <w:highlight w:val="none"/>
          <w:lang w:val="en-US" w:eastAsia="zh-CN" w:bidi="ar-SA"/>
        </w:rPr>
        <w:t>以</w:t>
      </w:r>
      <w:r>
        <w:rPr>
          <w:rFonts w:hint="eastAsia" w:ascii="Times New Roman" w:hAnsi="Times New Roman" w:eastAsia="仿宋_GB2312" w:cs="仿宋_GB2312"/>
          <w:b w:val="0"/>
          <w:bCs w:val="0"/>
          <w:kern w:val="2"/>
          <w:sz w:val="32"/>
          <w:szCs w:val="32"/>
          <w:highlight w:val="none"/>
          <w:lang w:val="en-US" w:eastAsia="zh-CN" w:bidi="ar-SA"/>
        </w:rPr>
        <w:t>城市能级</w:t>
      </w:r>
      <w:r>
        <w:rPr>
          <w:rFonts w:hint="eastAsia" w:ascii="Calibri" w:hAnsi="Times New Roman" w:eastAsia="仿宋_GB2312" w:cs="仿宋_GB2312"/>
          <w:b w:val="0"/>
          <w:bCs w:val="0"/>
          <w:kern w:val="2"/>
          <w:sz w:val="32"/>
          <w:szCs w:val="32"/>
          <w:highlight w:val="none"/>
          <w:lang w:val="en-US" w:eastAsia="zh-CN" w:bidi="ar-SA"/>
        </w:rPr>
        <w:t>跃升</w:t>
      </w:r>
      <w:r>
        <w:rPr>
          <w:rFonts w:hint="eastAsia" w:ascii="Times New Roman" w:hAnsi="Times New Roman" w:eastAsia="仿宋_GB2312" w:cs="仿宋_GB2312"/>
          <w:b w:val="0"/>
          <w:bCs w:val="0"/>
          <w:kern w:val="2"/>
          <w:sz w:val="32"/>
          <w:szCs w:val="32"/>
          <w:highlight w:val="none"/>
          <w:lang w:val="en-US" w:eastAsia="zh-CN" w:bidi="ar-SA"/>
        </w:rPr>
        <w:t>服务全省支点建设，全力打造长江经济带资源型城市绿色转型示范和武汉都市圈生态宜居标杆</w:t>
      </w:r>
      <w:r>
        <w:rPr>
          <w:rFonts w:hint="eastAsia" w:ascii="Calibri" w:hAnsi="Times New Roman" w:eastAsia="仿宋_GB2312" w:cs="仿宋_GB2312"/>
          <w:b w:val="0"/>
          <w:bCs w:val="0"/>
          <w:kern w:val="2"/>
          <w:sz w:val="32"/>
          <w:szCs w:val="32"/>
          <w:highlight w:val="none"/>
          <w:lang w:val="en-US" w:eastAsia="zh-CN" w:bidi="ar-SA"/>
        </w:rPr>
        <w:t>，奋力建设现代化人民城市。</w:t>
      </w:r>
    </w:p>
    <w:p w14:paraId="04F27D9E">
      <w:pPr>
        <w:keepNext w:val="0"/>
        <w:keepLines w:val="0"/>
        <w:pageBreakBefore w:val="0"/>
        <w:widowControl w:val="0"/>
        <w:kinsoku/>
        <w:wordWrap/>
        <w:overflowPunct/>
        <w:topLinePunct w:val="0"/>
        <w:autoSpaceDE/>
        <w:autoSpaceDN/>
        <w:bidi w:val="0"/>
        <w:adjustRightInd/>
        <w:snapToGrid/>
        <w:spacing w:after="0" w:line="560" w:lineRule="exact"/>
        <w:ind w:left="0" w:leftChars="0" w:firstLine="640" w:firstLineChars="200"/>
        <w:jc w:val="both"/>
        <w:textAlignment w:val="auto"/>
        <w:rPr>
          <w:rFonts w:hint="eastAsia" w:ascii="Times New Roman" w:hAnsi="Times New Roman" w:eastAsia="仿宋_GB2312" w:cs="仿宋_GB2312"/>
          <w:b w:val="0"/>
          <w:bCs w:val="0"/>
          <w:kern w:val="2"/>
          <w:sz w:val="32"/>
          <w:szCs w:val="32"/>
          <w:highlight w:val="none"/>
          <w:lang w:val="en-US" w:eastAsia="zh-CN" w:bidi="ar-SA"/>
        </w:rPr>
      </w:pPr>
      <w:r>
        <w:rPr>
          <w:rFonts w:hint="eastAsia" w:ascii="Times New Roman" w:hAnsi="Times New Roman" w:eastAsia="仿宋_GB2312" w:cs="仿宋_GB2312"/>
          <w:b w:val="0"/>
          <w:bCs w:val="0"/>
          <w:kern w:val="2"/>
          <w:sz w:val="32"/>
          <w:szCs w:val="32"/>
          <w:highlight w:val="none"/>
          <w:lang w:val="en-US" w:eastAsia="zh-CN" w:bidi="ar-SA"/>
        </w:rPr>
        <w:t>到2027年，城市生产、生活、生态空间协调发展，</w:t>
      </w:r>
      <w:r>
        <w:rPr>
          <w:rFonts w:hint="eastAsia" w:ascii="Times New Roman" w:hAnsi="Times New Roman" w:eastAsia="仿宋_GB2312" w:cs="Times New Roman"/>
          <w:b w:val="0"/>
          <w:bCs w:val="0"/>
          <w:kern w:val="2"/>
          <w:sz w:val="32"/>
          <w:szCs w:val="32"/>
          <w:highlight w:val="none"/>
          <w:lang w:val="en-US" w:eastAsia="zh-CN" w:bidi="ar-SA"/>
        </w:rPr>
        <w:t>绿色低碳循环发展水平持续提升，争创全国零碳园区试点。</w:t>
      </w:r>
      <w:r>
        <w:rPr>
          <w:rFonts w:hint="eastAsia" w:ascii="Times New Roman" w:hAnsi="Times New Roman" w:eastAsia="仿宋_GB2312" w:cs="仿宋_GB2312"/>
          <w:b w:val="0"/>
          <w:bCs w:val="0"/>
          <w:kern w:val="2"/>
          <w:sz w:val="32"/>
          <w:szCs w:val="32"/>
          <w:highlight w:val="none"/>
          <w:lang w:val="en-US" w:eastAsia="zh-CN" w:bidi="ar-SA"/>
        </w:rPr>
        <w:t>PM</w:t>
      </w:r>
      <w:r>
        <w:rPr>
          <w:rFonts w:hint="eastAsia" w:ascii="Times New Roman" w:hAnsi="Times New Roman" w:eastAsia="仿宋_GB2312" w:cs="仿宋_GB2312"/>
          <w:b w:val="0"/>
          <w:bCs w:val="0"/>
          <w:kern w:val="2"/>
          <w:sz w:val="32"/>
          <w:szCs w:val="32"/>
          <w:highlight w:val="none"/>
          <w:vertAlign w:val="subscript"/>
          <w:lang w:val="en-US" w:eastAsia="zh-CN" w:bidi="ar-SA"/>
        </w:rPr>
        <w:t>2.5</w:t>
      </w:r>
      <w:r>
        <w:rPr>
          <w:rFonts w:hint="eastAsia" w:ascii="Times New Roman" w:hAnsi="Times New Roman" w:eastAsia="仿宋_GB2312" w:cs="仿宋_GB2312"/>
          <w:b w:val="0"/>
          <w:bCs w:val="0"/>
          <w:kern w:val="2"/>
          <w:sz w:val="32"/>
          <w:szCs w:val="32"/>
          <w:highlight w:val="none"/>
          <w:lang w:val="en-US" w:eastAsia="zh-CN" w:bidi="ar-SA"/>
        </w:rPr>
        <w:t>浓度持续降低，基本消除重污染天气，优良水体比例</w:t>
      </w:r>
      <w:r>
        <w:rPr>
          <w:rFonts w:hint="eastAsia" w:ascii="Times New Roman" w:hAnsi="Times New Roman" w:eastAsia="仿宋_GB2312" w:cs="仿宋_GB2312"/>
          <w:b w:val="0"/>
          <w:bCs w:val="0"/>
          <w:color w:val="auto"/>
          <w:kern w:val="2"/>
          <w:sz w:val="32"/>
          <w:szCs w:val="32"/>
          <w:highlight w:val="none"/>
          <w:lang w:val="en-US" w:eastAsia="zh-CN" w:bidi="ar-SA"/>
        </w:rPr>
        <w:t>完成省定目标</w:t>
      </w:r>
      <w:r>
        <w:rPr>
          <w:rFonts w:hint="eastAsia" w:ascii="Times New Roman" w:hAnsi="Times New Roman" w:eastAsia="仿宋_GB2312" w:cs="仿宋_GB2312"/>
          <w:b w:val="0"/>
          <w:bCs w:val="0"/>
          <w:kern w:val="2"/>
          <w:sz w:val="32"/>
          <w:szCs w:val="32"/>
          <w:highlight w:val="none"/>
          <w:lang w:val="en-US" w:eastAsia="zh-CN" w:bidi="ar-SA"/>
        </w:rPr>
        <w:t>，美丽河湖示范效应凸显。城市生态系统服务功能不断增强，建成一批美丽宜居示范样板。城市安全韧性大幅提升，智慧高效的生态环境治理体系不断健全，美丽城市建设长效机制初步构建，力争纳入美丽城市先行区。</w:t>
      </w:r>
    </w:p>
    <w:p w14:paraId="2DC7DEDA">
      <w:pPr>
        <w:keepNext w:val="0"/>
        <w:keepLines w:val="0"/>
        <w:pageBreakBefore w:val="0"/>
        <w:widowControl w:val="0"/>
        <w:kinsoku/>
        <w:wordWrap/>
        <w:overflowPunct/>
        <w:topLinePunct w:val="0"/>
        <w:autoSpaceDE/>
        <w:autoSpaceDN/>
        <w:bidi w:val="0"/>
        <w:adjustRightInd/>
        <w:snapToGrid/>
        <w:spacing w:after="0" w:line="560" w:lineRule="exact"/>
        <w:ind w:left="0" w:leftChars="0" w:firstLine="640" w:firstLineChars="200"/>
        <w:jc w:val="both"/>
        <w:textAlignment w:val="auto"/>
        <w:rPr>
          <w:rFonts w:hint="default" w:ascii="Times New Roman" w:hAnsi="Times New Roman" w:eastAsia="仿宋_GB2312" w:cs="仿宋_GB2312"/>
          <w:b w:val="0"/>
          <w:bCs w:val="0"/>
          <w:kern w:val="2"/>
          <w:sz w:val="32"/>
          <w:szCs w:val="32"/>
          <w:highlight w:val="none"/>
          <w:lang w:val="en-US" w:eastAsia="zh-CN" w:bidi="ar-SA"/>
        </w:rPr>
      </w:pPr>
      <w:r>
        <w:rPr>
          <w:rFonts w:hint="eastAsia" w:ascii="Times New Roman" w:hAnsi="Times New Roman" w:eastAsia="仿宋_GB2312" w:cs="仿宋_GB2312"/>
          <w:b w:val="0"/>
          <w:bCs w:val="0"/>
          <w:kern w:val="2"/>
          <w:sz w:val="32"/>
          <w:szCs w:val="32"/>
          <w:highlight w:val="none"/>
          <w:lang w:val="en-US" w:eastAsia="zh-CN" w:bidi="ar-SA"/>
        </w:rPr>
        <w:t>到2030年，城市绿色发展内生动力显著增强，</w:t>
      </w:r>
      <w:r>
        <w:rPr>
          <w:rFonts w:hint="eastAsia" w:ascii="Times New Roman" w:hAnsi="Times New Roman" w:eastAsia="仿宋_GB2312" w:cs="Times New Roman"/>
          <w:b w:val="0"/>
          <w:bCs w:val="0"/>
          <w:kern w:val="2"/>
          <w:sz w:val="32"/>
          <w:szCs w:val="32"/>
          <w:highlight w:val="none"/>
          <w:lang w:val="en-US" w:eastAsia="zh-CN" w:bidi="ar-SA"/>
        </w:rPr>
        <w:t>打造一批零碳园区、生态工业园区</w:t>
      </w:r>
      <w:r>
        <w:rPr>
          <w:rFonts w:hint="eastAsia" w:ascii="Times New Roman" w:hAnsi="Times New Roman" w:eastAsia="仿宋_GB2312" w:cs="仿宋_GB2312"/>
          <w:b w:val="0"/>
          <w:bCs w:val="0"/>
          <w:kern w:val="2"/>
          <w:sz w:val="32"/>
          <w:szCs w:val="32"/>
          <w:highlight w:val="none"/>
          <w:lang w:val="en-US" w:eastAsia="zh-CN" w:bidi="ar-SA"/>
        </w:rPr>
        <w:t>，资源节约集约利用水平走在全省前列。城市生态环境品质迈向更高水平，城市安全韧性保障和智慧化管理能力有效增强，鄂东区域中心城市功能品质显著提升，长江经济带资源型城市绿色转型示范和武汉都市圈生态宜居标杆建设成效明显，基本</w:t>
      </w:r>
      <w:r>
        <w:rPr>
          <w:rFonts w:hint="default" w:ascii="Times New Roman" w:hAnsi="Times New Roman" w:eastAsia="仿宋_GB2312" w:cs="仿宋_GB2312"/>
          <w:b w:val="0"/>
          <w:bCs w:val="0"/>
          <w:kern w:val="2"/>
          <w:sz w:val="32"/>
          <w:szCs w:val="32"/>
          <w:highlight w:val="none"/>
          <w:lang w:val="en-US" w:eastAsia="zh-CN" w:bidi="ar-SA"/>
        </w:rPr>
        <w:t>建成</w:t>
      </w:r>
      <w:r>
        <w:rPr>
          <w:rFonts w:hint="eastAsia" w:ascii="Times New Roman" w:hAnsi="Times New Roman" w:eastAsia="仿宋_GB2312" w:cs="仿宋_GB2312"/>
          <w:b w:val="0"/>
          <w:bCs w:val="0"/>
          <w:kern w:val="2"/>
          <w:sz w:val="32"/>
          <w:szCs w:val="32"/>
          <w:highlight w:val="none"/>
          <w:lang w:val="en-US" w:eastAsia="zh-CN" w:bidi="ar-SA"/>
        </w:rPr>
        <w:t>美丽城市先行区。</w:t>
      </w:r>
    </w:p>
    <w:p w14:paraId="7CDB7520">
      <w:pPr>
        <w:keepNext w:val="0"/>
        <w:keepLines w:val="0"/>
        <w:pageBreakBefore w:val="0"/>
        <w:kinsoku/>
        <w:wordWrap/>
        <w:overflowPunct/>
        <w:topLinePunct w:val="0"/>
        <w:autoSpaceDE/>
        <w:autoSpaceDN/>
        <w:bidi w:val="0"/>
        <w:adjustRightInd w:val="0"/>
        <w:spacing w:line="560" w:lineRule="exact"/>
        <w:ind w:firstLine="640" w:firstLineChars="200"/>
        <w:jc w:val="both"/>
        <w:textAlignment w:val="auto"/>
        <w:outlineLvl w:val="0"/>
        <w:rPr>
          <w:rFonts w:hint="eastAsia" w:ascii="Times New Roman" w:hAnsi="Times New Roman" w:eastAsia="黑体" w:cs="Times New Roman"/>
          <w:b w:val="0"/>
          <w:bCs w:val="0"/>
          <w:sz w:val="32"/>
          <w:highlight w:val="none"/>
          <w:lang w:val="en-US" w:eastAsia="zh-CN"/>
        </w:rPr>
      </w:pPr>
      <w:r>
        <w:rPr>
          <w:rFonts w:hint="eastAsia" w:ascii="Times New Roman" w:hAnsi="Times New Roman" w:eastAsia="黑体" w:cs="Times New Roman"/>
          <w:b w:val="0"/>
          <w:bCs w:val="0"/>
          <w:sz w:val="32"/>
          <w:highlight w:val="none"/>
          <w:lang w:val="en-US" w:eastAsia="zh-CN"/>
        </w:rPr>
        <w:t>二、重点任务</w:t>
      </w:r>
    </w:p>
    <w:p w14:paraId="2AF8714A">
      <w:pPr>
        <w:keepNext w:val="0"/>
        <w:keepLines w:val="0"/>
        <w:pageBreakBefore w:val="0"/>
        <w:numPr>
          <w:ilvl w:val="0"/>
          <w:numId w:val="1"/>
        </w:numPr>
        <w:kinsoku/>
        <w:wordWrap/>
        <w:overflowPunct/>
        <w:topLinePunct w:val="0"/>
        <w:autoSpaceDE/>
        <w:autoSpaceDN/>
        <w:bidi w:val="0"/>
        <w:adjustRightInd/>
        <w:snapToGrid/>
        <w:spacing w:beforeAutospacing="0" w:afterAutospacing="0" w:line="560" w:lineRule="exact"/>
        <w:ind w:left="0" w:leftChars="0" w:firstLine="640" w:firstLineChars="200"/>
        <w:jc w:val="both"/>
        <w:textAlignment w:val="auto"/>
        <w:outlineLvl w:val="1"/>
        <w:rPr>
          <w:rFonts w:hint="default" w:ascii="Times New Roman" w:hAnsi="Times New Roman" w:eastAsia="楷体_GB2312" w:cs="楷体_GB2312"/>
          <w:b w:val="0"/>
          <w:bCs w:val="0"/>
          <w:sz w:val="32"/>
          <w:szCs w:val="32"/>
          <w:highlight w:val="none"/>
          <w:lang w:val="en-US" w:eastAsia="zh-CN"/>
        </w:rPr>
      </w:pPr>
      <w:r>
        <w:rPr>
          <w:rFonts w:hint="eastAsia" w:ascii="Times New Roman" w:hAnsi="Times New Roman" w:eastAsia="楷体_GB2312" w:cs="楷体_GB2312"/>
          <w:b w:val="0"/>
          <w:bCs w:val="0"/>
          <w:sz w:val="32"/>
          <w:szCs w:val="32"/>
          <w:highlight w:val="none"/>
          <w:lang w:val="en-US" w:eastAsia="zh-CN"/>
        </w:rPr>
        <w:t>实施</w:t>
      </w:r>
      <w:r>
        <w:rPr>
          <w:rFonts w:hint="eastAsia" w:ascii="Times New Roman" w:hAnsi="Times New Roman" w:eastAsia="楷体_GB2312" w:cs="楷体_GB2312"/>
          <w:b w:val="0"/>
          <w:bCs w:val="0"/>
          <w:sz w:val="32"/>
          <w:szCs w:val="32"/>
          <w:highlight w:val="none"/>
        </w:rPr>
        <w:t>绿色低碳提质增效</w:t>
      </w:r>
      <w:r>
        <w:rPr>
          <w:rFonts w:hint="eastAsia" w:ascii="Times New Roman" w:hAnsi="Times New Roman" w:eastAsia="楷体_GB2312" w:cs="楷体_GB2312"/>
          <w:b w:val="0"/>
          <w:bCs w:val="0"/>
          <w:sz w:val="32"/>
          <w:szCs w:val="32"/>
          <w:highlight w:val="none"/>
          <w:lang w:val="en-US" w:eastAsia="zh-CN"/>
        </w:rPr>
        <w:t>行动，打造老工业城市转型示范。</w:t>
      </w:r>
    </w:p>
    <w:p w14:paraId="08B092AD">
      <w:pPr>
        <w:keepNext w:val="0"/>
        <w:keepLines w:val="0"/>
        <w:pageBreakBefore w:val="0"/>
        <w:widowControl/>
        <w:numPr>
          <w:ilvl w:val="0"/>
          <w:numId w:val="2"/>
        </w:numPr>
        <w:suppressLineNumbers w:val="0"/>
        <w:kinsoku/>
        <w:wordWrap/>
        <w:overflowPunct/>
        <w:topLinePunct w:val="0"/>
        <w:autoSpaceDE/>
        <w:autoSpaceDN/>
        <w:bidi w:val="0"/>
        <w:adjustRightInd/>
        <w:snapToGrid/>
        <w:spacing w:before="0" w:beforeAutospacing="0" w:after="0" w:afterAutospacing="0" w:line="560" w:lineRule="exact"/>
        <w:ind w:left="0" w:leftChars="0" w:firstLine="643" w:firstLineChars="200"/>
        <w:jc w:val="both"/>
        <w:textAlignment w:val="auto"/>
        <w:outlineLvl w:val="2"/>
        <w:rPr>
          <w:rFonts w:hint="eastAsia" w:ascii="Times New Roman" w:hAnsi="Times New Roman" w:eastAsia="仿宋_GB2312" w:cs="仿宋_GB2312"/>
          <w:b w:val="0"/>
          <w:bCs w:val="0"/>
          <w:kern w:val="2"/>
          <w:sz w:val="32"/>
          <w:szCs w:val="32"/>
          <w:highlight w:val="none"/>
          <w:lang w:val="en-US" w:eastAsia="zh-CN" w:bidi="ar-SA"/>
        </w:rPr>
      </w:pPr>
      <w:r>
        <w:rPr>
          <w:rFonts w:hint="eastAsia" w:ascii="Times New Roman" w:hAnsi="Times New Roman" w:eastAsia="仿宋_GB2312" w:cs="仿宋_GB2312"/>
          <w:b/>
          <w:bCs/>
          <w:kern w:val="2"/>
          <w:sz w:val="32"/>
          <w:szCs w:val="32"/>
          <w:highlight w:val="none"/>
          <w:lang w:val="en-US" w:eastAsia="zh-CN" w:bidi="ar-SA"/>
        </w:rPr>
        <w:t>优化城市空间布局。完善城市空间结构，</w:t>
      </w:r>
      <w:r>
        <w:rPr>
          <w:rFonts w:hint="eastAsia" w:ascii="Times New Roman" w:hAnsi="Times New Roman" w:eastAsia="仿宋_GB2312" w:cs="仿宋_GB2312"/>
          <w:b w:val="0"/>
          <w:bCs w:val="0"/>
          <w:kern w:val="2"/>
          <w:sz w:val="32"/>
          <w:szCs w:val="32"/>
          <w:highlight w:val="none"/>
          <w:lang w:val="en-US" w:eastAsia="zh-CN" w:bidi="ar-SA"/>
        </w:rPr>
        <w:t>统筹推进老城区功能疏解和新区功能完善，构建以黄石－大冶城区为主、阳新城区为辅的“主副联动”城市发展格局。统筹环大冶湖功能布局，加快建设大冶湖生态新区。</w:t>
      </w:r>
      <w:r>
        <w:rPr>
          <w:rFonts w:hint="eastAsia" w:ascii="Times New Roman" w:hAnsi="Times New Roman" w:eastAsia="仿宋_GB2312" w:cs="仿宋_GB2312"/>
          <w:b/>
          <w:bCs/>
          <w:kern w:val="2"/>
          <w:sz w:val="32"/>
          <w:szCs w:val="32"/>
          <w:highlight w:val="none"/>
          <w:lang w:val="en-US" w:eastAsia="zh-CN" w:bidi="ar-SA"/>
        </w:rPr>
        <w:t>强化生态环境分区管控与应用，</w:t>
      </w:r>
      <w:r>
        <w:rPr>
          <w:rFonts w:hint="eastAsia" w:ascii="Times New Roman" w:hAnsi="Times New Roman" w:eastAsia="仿宋_GB2312" w:cs="仿宋_GB2312"/>
          <w:b w:val="0"/>
          <w:bCs w:val="0"/>
          <w:kern w:val="2"/>
          <w:sz w:val="32"/>
          <w:szCs w:val="32"/>
          <w:highlight w:val="none"/>
          <w:lang w:val="en-US" w:eastAsia="zh-CN" w:bidi="ar-SA"/>
        </w:rPr>
        <w:t>将生态环境管控单元及生态环境准入清单作为区域内产业布局、结构调整、资源开发、城镇建设、重大项目选址等重要依据，推进协同管控与治理。到2030年，大冶湖生态新区基本建成。（</w:t>
      </w:r>
      <w:r>
        <w:rPr>
          <w:rFonts w:hint="eastAsia" w:ascii="楷体_GB2312" w:hAnsi="楷体_GB2312" w:eastAsia="楷体_GB2312" w:cs="楷体_GB2312"/>
          <w:b w:val="0"/>
          <w:bCs w:val="0"/>
          <w:kern w:val="2"/>
          <w:sz w:val="32"/>
          <w:szCs w:val="32"/>
          <w:highlight w:val="none"/>
          <w:lang w:val="en-US" w:eastAsia="zh-CN" w:bidi="ar-SA"/>
        </w:rPr>
        <w:t>责任单位：市自然资源和城乡建设局、市发改委、市生态环境局，各县市区人民政府、新港园区。以下均需各县市区、新港园区落实，不再列出</w:t>
      </w:r>
      <w:r>
        <w:rPr>
          <w:rFonts w:hint="eastAsia" w:ascii="Times New Roman" w:hAnsi="Times New Roman" w:eastAsia="仿宋_GB2312" w:cs="仿宋_GB2312"/>
          <w:b w:val="0"/>
          <w:bCs w:val="0"/>
          <w:kern w:val="2"/>
          <w:sz w:val="32"/>
          <w:szCs w:val="32"/>
          <w:highlight w:val="none"/>
          <w:lang w:val="en-US" w:eastAsia="zh-CN" w:bidi="ar-SA"/>
        </w:rPr>
        <w:t>）</w:t>
      </w:r>
    </w:p>
    <w:p w14:paraId="76597536">
      <w:pPr>
        <w:keepNext w:val="0"/>
        <w:keepLines w:val="0"/>
        <w:pageBreakBefore w:val="0"/>
        <w:widowControl/>
        <w:numPr>
          <w:ilvl w:val="0"/>
          <w:numId w:val="2"/>
        </w:numPr>
        <w:suppressLineNumbers w:val="0"/>
        <w:kinsoku/>
        <w:wordWrap/>
        <w:overflowPunct/>
        <w:topLinePunct w:val="0"/>
        <w:autoSpaceDE/>
        <w:autoSpaceDN/>
        <w:bidi w:val="0"/>
        <w:adjustRightInd/>
        <w:snapToGrid/>
        <w:spacing w:before="0" w:beforeAutospacing="0" w:after="0" w:afterAutospacing="0" w:line="560" w:lineRule="exact"/>
        <w:ind w:left="0" w:leftChars="0" w:firstLine="643" w:firstLineChars="200"/>
        <w:jc w:val="both"/>
        <w:textAlignment w:val="auto"/>
        <w:outlineLvl w:val="2"/>
        <w:rPr>
          <w:rFonts w:hint="eastAsia" w:ascii="楷体_GB2312" w:hAnsi="楷体_GB2312" w:eastAsia="楷体_GB2312" w:cs="楷体_GB2312"/>
          <w:b w:val="0"/>
          <w:bCs w:val="0"/>
          <w:kern w:val="2"/>
          <w:sz w:val="32"/>
          <w:szCs w:val="32"/>
          <w:highlight w:val="none"/>
          <w:lang w:val="en-US" w:eastAsia="zh-CN" w:bidi="ar-SA"/>
        </w:rPr>
      </w:pPr>
      <w:r>
        <w:rPr>
          <w:rFonts w:hint="eastAsia" w:ascii="Times New Roman" w:hAnsi="Times New Roman" w:eastAsia="仿宋_GB2312" w:cs="仿宋_GB2312"/>
          <w:b/>
          <w:bCs/>
          <w:kern w:val="0"/>
          <w:sz w:val="32"/>
          <w:szCs w:val="32"/>
          <w:highlight w:val="none"/>
          <w:lang w:val="en-US" w:eastAsia="zh-CN"/>
        </w:rPr>
        <w:t>构建绿色</w:t>
      </w:r>
      <w:r>
        <w:rPr>
          <w:rFonts w:hint="eastAsia" w:ascii="Times New Roman" w:hAnsi="Times New Roman" w:eastAsia="仿宋_GB2312" w:cs="仿宋_GB2312"/>
          <w:b/>
          <w:bCs/>
          <w:kern w:val="2"/>
          <w:sz w:val="32"/>
          <w:szCs w:val="32"/>
          <w:highlight w:val="none"/>
          <w:lang w:val="en-US" w:eastAsia="zh-CN" w:bidi="ar-SA"/>
        </w:rPr>
        <w:t>低</w:t>
      </w:r>
      <w:r>
        <w:rPr>
          <w:rFonts w:hint="eastAsia" w:ascii="Times New Roman" w:hAnsi="Times New Roman" w:eastAsia="仿宋_GB2312" w:cs="仿宋_GB2312"/>
          <w:b/>
          <w:bCs/>
          <w:kern w:val="0"/>
          <w:sz w:val="32"/>
          <w:szCs w:val="32"/>
          <w:highlight w:val="none"/>
          <w:lang w:val="en-US" w:eastAsia="zh-CN"/>
        </w:rPr>
        <w:t>碳产业体系。实施传统产业焕新行动，</w:t>
      </w:r>
      <w:r>
        <w:rPr>
          <w:rFonts w:hint="eastAsia" w:ascii="Times New Roman" w:hAnsi="Times New Roman" w:eastAsia="仿宋_GB2312" w:cs="仿宋_GB2312"/>
          <w:b w:val="0"/>
          <w:bCs w:val="0"/>
          <w:kern w:val="0"/>
          <w:sz w:val="32"/>
          <w:szCs w:val="32"/>
          <w:highlight w:val="none"/>
          <w:lang w:val="en-US" w:eastAsia="zh-CN"/>
        </w:rPr>
        <w:t>深入实施“百企技改”工程，推进特钢、有色、建材等重点行业企业节能降碳改造和智能设备更新，</w:t>
      </w:r>
      <w:r>
        <w:rPr>
          <w:rFonts w:hint="eastAsia" w:ascii="Times New Roman" w:hAnsi="Times New Roman" w:eastAsia="仿宋_GB2312" w:cs="仿宋_GB2312"/>
          <w:b w:val="0"/>
          <w:bCs w:val="0"/>
          <w:kern w:val="2"/>
          <w:sz w:val="32"/>
          <w:szCs w:val="32"/>
          <w:highlight w:val="none"/>
          <w:lang w:val="en-US" w:eastAsia="zh-CN" w:bidi="ar-SA"/>
        </w:rPr>
        <w:t>探索开展有色金属、特钢精深加工等重点行业绿色标尺评价</w:t>
      </w:r>
      <w:r>
        <w:rPr>
          <w:rFonts w:hint="eastAsia" w:ascii="仿宋_GB2312" w:hAnsi="仿宋_GB2312" w:eastAsia="仿宋_GB2312" w:cs="仿宋_GB2312"/>
          <w:b w:val="0"/>
          <w:bCs w:val="0"/>
          <w:kern w:val="0"/>
          <w:sz w:val="32"/>
          <w:szCs w:val="32"/>
          <w:highlight w:val="none"/>
          <w:lang w:val="en-US" w:eastAsia="zh-CN"/>
        </w:rPr>
        <w:t>。</w:t>
      </w:r>
      <w:r>
        <w:rPr>
          <w:rFonts w:hint="eastAsia" w:ascii="Times New Roman" w:hAnsi="Times New Roman" w:eastAsia="仿宋_GB2312" w:cs="仿宋_GB2312"/>
          <w:b/>
          <w:bCs/>
          <w:kern w:val="0"/>
          <w:sz w:val="32"/>
          <w:szCs w:val="32"/>
          <w:highlight w:val="none"/>
          <w:lang w:val="en-US" w:eastAsia="zh-CN"/>
        </w:rPr>
        <w:t>实施绿色低碳产业培育工程，</w:t>
      </w:r>
      <w:r>
        <w:rPr>
          <w:rFonts w:hint="eastAsia" w:ascii="Times New Roman" w:hAnsi="Times New Roman" w:eastAsia="仿宋_GB2312" w:cs="仿宋_GB2312"/>
          <w:b w:val="0"/>
          <w:bCs w:val="0"/>
          <w:kern w:val="0"/>
          <w:sz w:val="32"/>
          <w:szCs w:val="32"/>
          <w:highlight w:val="none"/>
          <w:lang w:val="en-US" w:eastAsia="zh-CN"/>
        </w:rPr>
        <w:t>大力推动光电子信息、新能源与智能网联汽车、高端装备等新兴产业聚链成群，前瞻布局人工智能、智能机器人等未来产业。加快绿色服务业转型，持续实施港口物流五大攻坚行动，发展绿色物流。</w:t>
      </w:r>
      <w:r>
        <w:rPr>
          <w:rFonts w:hint="eastAsia" w:ascii="Times New Roman" w:hAnsi="Times New Roman" w:eastAsia="仿宋_GB2312" w:cs="仿宋_GB2312"/>
          <w:b/>
          <w:bCs/>
          <w:kern w:val="0"/>
          <w:sz w:val="32"/>
          <w:szCs w:val="32"/>
          <w:highlight w:val="none"/>
          <w:lang w:val="en-US" w:eastAsia="zh-CN"/>
        </w:rPr>
        <w:t>培育壮大节能环保产业，</w:t>
      </w:r>
      <w:r>
        <w:rPr>
          <w:rFonts w:hint="default" w:ascii="Times New Roman" w:hAnsi="Times New Roman" w:eastAsia="仿宋_GB2312" w:cs="Times New Roman"/>
          <w:b w:val="0"/>
          <w:bCs w:val="0"/>
          <w:snapToGrid w:val="0"/>
          <w:color w:val="000000"/>
          <w:kern w:val="0"/>
          <w:sz w:val="32"/>
          <w:szCs w:val="32"/>
          <w:highlight w:val="none"/>
          <w:shd w:val="clear" w:color="auto" w:fill="FFFFFF"/>
          <w:lang w:val="en-US" w:eastAsia="zh-CN"/>
        </w:rPr>
        <w:t>重点支持废钢铁、废铜铝等再生资源综合利用产业链向高附加值环节延伸</w:t>
      </w:r>
      <w:r>
        <w:rPr>
          <w:rFonts w:hint="eastAsia" w:ascii="Times New Roman" w:hAnsi="Times New Roman" w:eastAsia="仿宋_GB2312" w:cs="Times New Roman"/>
          <w:b w:val="0"/>
          <w:bCs w:val="0"/>
          <w:snapToGrid w:val="0"/>
          <w:color w:val="000000"/>
          <w:kern w:val="0"/>
          <w:sz w:val="32"/>
          <w:szCs w:val="32"/>
          <w:highlight w:val="none"/>
          <w:shd w:val="clear" w:color="auto" w:fill="FFFFFF"/>
          <w:lang w:val="en-US" w:eastAsia="zh-CN"/>
        </w:rPr>
        <w:t>，加快建设</w:t>
      </w:r>
      <w:r>
        <w:rPr>
          <w:rFonts w:hint="default" w:ascii="Times New Roman" w:hAnsi="Times New Roman" w:eastAsia="仿宋_GB2312" w:cs="Times New Roman"/>
          <w:b w:val="0"/>
          <w:bCs w:val="0"/>
          <w:snapToGrid w:val="0"/>
          <w:color w:val="000000"/>
          <w:kern w:val="0"/>
          <w:sz w:val="32"/>
          <w:szCs w:val="32"/>
          <w:highlight w:val="none"/>
          <w:shd w:val="clear" w:color="auto" w:fill="FFFFFF"/>
          <w:lang w:val="en-US" w:eastAsia="zh-CN"/>
        </w:rPr>
        <w:t>大冶湖高新区节能装备产业集群，</w:t>
      </w:r>
      <w:r>
        <w:rPr>
          <w:rFonts w:hint="eastAsia" w:ascii="Times New Roman" w:hAnsi="Times New Roman" w:eastAsia="仿宋_GB2312" w:cs="Times New Roman"/>
          <w:b w:val="0"/>
          <w:bCs w:val="0"/>
          <w:snapToGrid w:val="0"/>
          <w:color w:val="000000"/>
          <w:kern w:val="0"/>
          <w:sz w:val="32"/>
          <w:szCs w:val="32"/>
          <w:highlight w:val="none"/>
          <w:shd w:val="clear" w:color="auto" w:fill="FFFFFF"/>
          <w:lang w:val="en-US" w:eastAsia="zh-CN"/>
        </w:rPr>
        <w:t>深化</w:t>
      </w:r>
      <w:r>
        <w:rPr>
          <w:rFonts w:hint="default" w:ascii="Times New Roman" w:hAnsi="Times New Roman" w:eastAsia="仿宋_GB2312" w:cs="Times New Roman"/>
          <w:b w:val="0"/>
          <w:bCs w:val="0"/>
          <w:snapToGrid w:val="0"/>
          <w:color w:val="000000"/>
          <w:kern w:val="0"/>
          <w:sz w:val="32"/>
          <w:szCs w:val="32"/>
          <w:highlight w:val="none"/>
          <w:shd w:val="clear" w:color="auto" w:fill="FFFFFF"/>
          <w:lang w:val="en-US" w:eastAsia="zh-CN"/>
        </w:rPr>
        <w:t>大冶有色城市矿产示范基地建设。</w:t>
      </w:r>
      <w:r>
        <w:rPr>
          <w:rFonts w:hint="eastAsia" w:ascii="Times New Roman" w:hAnsi="Times New Roman" w:eastAsia="仿宋_GB2312" w:cs="仿宋_GB2312"/>
          <w:b/>
          <w:bCs/>
          <w:kern w:val="0"/>
          <w:sz w:val="32"/>
          <w:szCs w:val="32"/>
          <w:highlight w:val="none"/>
          <w:lang w:val="en-US" w:eastAsia="zh-CN"/>
        </w:rPr>
        <w:t>完善绿色制造体系，</w:t>
      </w:r>
      <w:r>
        <w:rPr>
          <w:rFonts w:hint="eastAsia" w:ascii="Times New Roman" w:hAnsi="Times New Roman" w:eastAsia="仿宋_GB2312" w:cs="仿宋_GB2312"/>
          <w:b w:val="0"/>
          <w:bCs w:val="0"/>
          <w:kern w:val="0"/>
          <w:sz w:val="32"/>
          <w:szCs w:val="32"/>
          <w:highlight w:val="none"/>
          <w:lang w:val="en-US" w:eastAsia="zh-CN"/>
        </w:rPr>
        <w:t>支持大冶湖高新区、</w:t>
      </w:r>
      <w:r>
        <w:rPr>
          <w:rFonts w:hint="default" w:ascii="Times New Roman" w:hAnsi="Times New Roman" w:eastAsia="仿宋_GB2312" w:cs="仿宋_GB2312"/>
          <w:b w:val="0"/>
          <w:bCs w:val="0"/>
          <w:kern w:val="0"/>
          <w:sz w:val="32"/>
          <w:szCs w:val="32"/>
          <w:highlight w:val="none"/>
          <w:lang w:val="en-US" w:eastAsia="zh-CN"/>
        </w:rPr>
        <w:t>开发区</w:t>
      </w:r>
      <w:r>
        <w:rPr>
          <w:rFonts w:hint="eastAsia" w:ascii="Times New Roman" w:hAnsi="Times New Roman" w:eastAsia="仿宋_GB2312" w:cs="仿宋_GB2312"/>
          <w:b w:val="0"/>
          <w:bCs w:val="0"/>
          <w:kern w:val="0"/>
          <w:sz w:val="32"/>
          <w:szCs w:val="32"/>
          <w:highlight w:val="none"/>
          <w:lang w:val="en-US" w:eastAsia="zh-CN"/>
        </w:rPr>
        <w:t>·</w:t>
      </w:r>
      <w:r>
        <w:rPr>
          <w:rFonts w:hint="default" w:ascii="Times New Roman" w:hAnsi="Times New Roman" w:eastAsia="仿宋_GB2312" w:cs="仿宋_GB2312"/>
          <w:b w:val="0"/>
          <w:bCs w:val="0"/>
          <w:kern w:val="0"/>
          <w:sz w:val="32"/>
          <w:szCs w:val="32"/>
          <w:highlight w:val="none"/>
          <w:lang w:val="en-US" w:eastAsia="zh-CN"/>
        </w:rPr>
        <w:t>铁山区</w:t>
      </w:r>
      <w:r>
        <w:rPr>
          <w:rFonts w:hint="eastAsia" w:ascii="Times New Roman" w:hAnsi="Times New Roman" w:eastAsia="仿宋_GB2312" w:cs="仿宋_GB2312"/>
          <w:b w:val="0"/>
          <w:bCs w:val="0"/>
          <w:kern w:val="0"/>
          <w:sz w:val="32"/>
          <w:szCs w:val="32"/>
          <w:highlight w:val="none"/>
          <w:lang w:val="en-US" w:eastAsia="zh-CN"/>
        </w:rPr>
        <w:t>建设国家级绿色工业园区、生态工业园区，支持黄石新港（物流）工业园区建设</w:t>
      </w:r>
      <w:r>
        <w:rPr>
          <w:rFonts w:hint="default" w:ascii="Times New Roman" w:hAnsi="Times New Roman" w:eastAsia="仿宋_GB2312" w:cs="仿宋_GB2312"/>
          <w:b w:val="0"/>
          <w:bCs w:val="0"/>
          <w:kern w:val="0"/>
          <w:sz w:val="32"/>
          <w:szCs w:val="32"/>
          <w:highlight w:val="none"/>
          <w:lang w:val="en-US" w:eastAsia="zh-CN"/>
        </w:rPr>
        <w:t>零碳园区</w:t>
      </w:r>
      <w:r>
        <w:rPr>
          <w:rFonts w:hint="eastAsia" w:ascii="Times New Roman" w:hAnsi="Times New Roman" w:eastAsia="仿宋_GB2312" w:cs="仿宋_GB2312"/>
          <w:b w:val="0"/>
          <w:bCs w:val="0"/>
          <w:kern w:val="0"/>
          <w:sz w:val="32"/>
          <w:szCs w:val="32"/>
          <w:highlight w:val="none"/>
          <w:lang w:val="en-US" w:eastAsia="zh-CN"/>
        </w:rPr>
        <w:t>，积极开展零碳工厂、绿色工厂和绿色供应链建设。</w:t>
      </w:r>
      <w:r>
        <w:rPr>
          <w:rFonts w:hint="eastAsia" w:ascii="Times New Roman" w:hAnsi="Times New Roman" w:eastAsia="仿宋_GB2312" w:cs="Times New Roman"/>
          <w:b w:val="0"/>
          <w:bCs w:val="0"/>
          <w:snapToGrid w:val="0"/>
          <w:color w:val="000000"/>
          <w:kern w:val="0"/>
          <w:sz w:val="32"/>
          <w:szCs w:val="32"/>
          <w:highlight w:val="none"/>
          <w:shd w:val="clear" w:color="auto" w:fill="FFFFFF"/>
          <w:lang w:val="en-US" w:eastAsia="zh-CN"/>
        </w:rPr>
        <w:t>到2027年，</w:t>
      </w:r>
      <w:r>
        <w:rPr>
          <w:rFonts w:hint="eastAsia" w:ascii="Times New Roman" w:hAnsi="Times New Roman" w:eastAsia="仿宋_GB2312" w:cs="仿宋_GB2312"/>
          <w:b w:val="0"/>
          <w:bCs w:val="0"/>
          <w:kern w:val="0"/>
          <w:sz w:val="32"/>
          <w:szCs w:val="32"/>
          <w:highlight w:val="none"/>
          <w:lang w:val="en-US" w:eastAsia="zh-CN"/>
        </w:rPr>
        <w:t>省级及以上绿色工厂力争达到60家，</w:t>
      </w:r>
      <w:r>
        <w:rPr>
          <w:rFonts w:hint="eastAsia" w:ascii="Times New Roman" w:hAnsi="Times New Roman" w:eastAsia="仿宋_GB2312" w:cs="Times New Roman"/>
          <w:b w:val="0"/>
          <w:bCs w:val="0"/>
          <w:snapToGrid w:val="0"/>
          <w:color w:val="000000"/>
          <w:kern w:val="0"/>
          <w:sz w:val="32"/>
          <w:szCs w:val="32"/>
          <w:highlight w:val="none"/>
          <w:shd w:val="clear" w:color="auto" w:fill="FFFFFF"/>
          <w:lang w:val="en-US" w:eastAsia="zh-CN"/>
        </w:rPr>
        <w:t>基本建成华中地区矿产资源循环利用示范基地。到</w:t>
      </w:r>
      <w:r>
        <w:rPr>
          <w:rFonts w:hint="eastAsia" w:ascii="Times New Roman" w:hAnsi="Times New Roman" w:eastAsia="仿宋_GB2312" w:cs="仿宋_GB2312"/>
          <w:b w:val="0"/>
          <w:bCs w:val="0"/>
          <w:kern w:val="0"/>
          <w:sz w:val="32"/>
          <w:szCs w:val="32"/>
          <w:highlight w:val="none"/>
          <w:lang w:val="en-US" w:eastAsia="zh-CN"/>
        </w:rPr>
        <w:t>2030年，省级及以上绿色工厂力争达到80家。</w:t>
      </w:r>
      <w:r>
        <w:rPr>
          <w:rFonts w:hint="eastAsia" w:ascii="楷体_GB2312" w:hAnsi="楷体_GB2312" w:eastAsia="楷体_GB2312" w:cs="楷体_GB2312"/>
          <w:b w:val="0"/>
          <w:bCs w:val="0"/>
          <w:kern w:val="2"/>
          <w:sz w:val="32"/>
          <w:szCs w:val="32"/>
          <w:highlight w:val="none"/>
          <w:lang w:val="en-US" w:eastAsia="zh-CN" w:bidi="ar-SA"/>
        </w:rPr>
        <w:t>（责任单位：市发改委、市经信局、市生态环境局、市交通运输局）</w:t>
      </w:r>
    </w:p>
    <w:p w14:paraId="4438EB8E">
      <w:pPr>
        <w:keepNext w:val="0"/>
        <w:keepLines w:val="0"/>
        <w:pageBreakBefore w:val="0"/>
        <w:widowControl/>
        <w:numPr>
          <w:ilvl w:val="0"/>
          <w:numId w:val="2"/>
        </w:numPr>
        <w:suppressLineNumbers w:val="0"/>
        <w:kinsoku/>
        <w:wordWrap/>
        <w:overflowPunct/>
        <w:topLinePunct w:val="0"/>
        <w:autoSpaceDE/>
        <w:autoSpaceDN/>
        <w:bidi w:val="0"/>
        <w:adjustRightInd/>
        <w:snapToGrid/>
        <w:spacing w:before="0" w:beforeAutospacing="0" w:after="0" w:afterAutospacing="0" w:line="560" w:lineRule="exact"/>
        <w:ind w:left="0" w:leftChars="0" w:firstLine="643" w:firstLineChars="200"/>
        <w:jc w:val="both"/>
        <w:textAlignment w:val="auto"/>
        <w:outlineLvl w:val="2"/>
        <w:rPr>
          <w:rFonts w:hint="eastAsia" w:ascii="Times New Roman" w:hAnsi="Times New Roman" w:eastAsia="仿宋_GB2312" w:cs="仿宋_GB2312"/>
          <w:b w:val="0"/>
          <w:bCs w:val="0"/>
          <w:kern w:val="2"/>
          <w:sz w:val="32"/>
          <w:szCs w:val="32"/>
          <w:highlight w:val="none"/>
          <w:lang w:val="en-US" w:eastAsia="zh-CN" w:bidi="ar-SA"/>
        </w:rPr>
      </w:pPr>
      <w:r>
        <w:rPr>
          <w:rFonts w:hint="eastAsia" w:ascii="Times New Roman" w:hAnsi="Times New Roman" w:eastAsia="仿宋_GB2312" w:cs="仿宋_GB2312"/>
          <w:b/>
          <w:bCs/>
          <w:kern w:val="2"/>
          <w:sz w:val="32"/>
          <w:szCs w:val="32"/>
          <w:highlight w:val="none"/>
          <w:lang w:val="en-US" w:eastAsia="zh-CN" w:bidi="ar-SA"/>
        </w:rPr>
        <w:t>推行绿色生活方式。优先发展城市公共交通，</w:t>
      </w:r>
      <w:r>
        <w:rPr>
          <w:rFonts w:hint="eastAsia" w:ascii="Times New Roman" w:hAnsi="Times New Roman" w:eastAsia="仿宋_GB2312" w:cs="仿宋_GB2312"/>
          <w:b w:val="0"/>
          <w:bCs w:val="0"/>
          <w:kern w:val="0"/>
          <w:sz w:val="32"/>
          <w:szCs w:val="32"/>
          <w:highlight w:val="none"/>
          <w:lang w:val="en-US" w:eastAsia="zh-CN"/>
        </w:rPr>
        <w:t>完善“快-干-支-微”多层次城市公共交通网络，</w:t>
      </w:r>
      <w:r>
        <w:rPr>
          <w:rFonts w:hint="eastAsia" w:ascii="Times New Roman" w:hAnsi="Times New Roman" w:eastAsia="仿宋_GB2312" w:cs="仿宋_GB2312"/>
          <w:b w:val="0"/>
          <w:bCs w:val="0"/>
          <w:kern w:val="2"/>
          <w:sz w:val="32"/>
          <w:szCs w:val="32"/>
          <w:highlight w:val="none"/>
          <w:lang w:val="en-US" w:eastAsia="zh-CN" w:bidi="ar-SA"/>
        </w:rPr>
        <w:t>强化慢行交通与城市公共交通衔接</w:t>
      </w:r>
      <w:r>
        <w:rPr>
          <w:rFonts w:hint="eastAsia" w:ascii="Times New Roman" w:hAnsi="Times New Roman" w:eastAsia="仿宋_GB2312" w:cs="仿宋_GB2312"/>
          <w:b w:val="0"/>
          <w:bCs w:val="0"/>
          <w:kern w:val="0"/>
          <w:sz w:val="32"/>
          <w:szCs w:val="32"/>
          <w:highlight w:val="none"/>
          <w:lang w:val="en-US" w:eastAsia="zh-CN"/>
        </w:rPr>
        <w:t>，鼓励绿色出行。</w:t>
      </w:r>
      <w:r>
        <w:rPr>
          <w:rFonts w:hint="eastAsia" w:ascii="Times New Roman" w:hAnsi="Times New Roman" w:eastAsia="仿宋_GB2312" w:cs="仿宋_GB2312"/>
          <w:b/>
          <w:bCs/>
          <w:kern w:val="0"/>
          <w:sz w:val="32"/>
          <w:szCs w:val="32"/>
          <w:highlight w:val="none"/>
          <w:lang w:val="en-US" w:eastAsia="zh-CN"/>
        </w:rPr>
        <w:t>实施公共领域车辆电动化替代，</w:t>
      </w:r>
      <w:r>
        <w:rPr>
          <w:rFonts w:hint="eastAsia" w:ascii="Times New Roman" w:hAnsi="Times New Roman" w:eastAsia="仿宋_GB2312" w:cs="仿宋_GB2312"/>
          <w:b w:val="0"/>
          <w:bCs w:val="0"/>
          <w:kern w:val="0"/>
          <w:sz w:val="32"/>
          <w:szCs w:val="32"/>
          <w:highlight w:val="none"/>
          <w:lang w:val="en-US" w:eastAsia="zh-CN"/>
        </w:rPr>
        <w:t>推动交通与能源基础设施一体化，统筹布局加氢站、新能源重卡超充站、换电站、充电桩等设施建设。</w:t>
      </w:r>
      <w:r>
        <w:rPr>
          <w:rFonts w:hint="eastAsia" w:ascii="Times New Roman" w:hAnsi="Times New Roman" w:eastAsia="仿宋_GB2312" w:cs="仿宋_GB2312"/>
          <w:b/>
          <w:bCs/>
          <w:kern w:val="2"/>
          <w:sz w:val="32"/>
          <w:szCs w:val="32"/>
          <w:highlight w:val="none"/>
          <w:lang w:val="en-US" w:eastAsia="zh-CN" w:bidi="ar-SA"/>
        </w:rPr>
        <w:t>实施节能降碳全民行动，</w:t>
      </w:r>
      <w:r>
        <w:rPr>
          <w:rFonts w:hint="eastAsia" w:ascii="Times New Roman" w:hAnsi="Times New Roman" w:eastAsia="仿宋_GB2312" w:cs="仿宋_GB2312"/>
          <w:b w:val="0"/>
          <w:bCs w:val="0"/>
          <w:kern w:val="2"/>
          <w:sz w:val="32"/>
          <w:szCs w:val="32"/>
          <w:highlight w:val="none"/>
          <w:lang w:val="en-US" w:eastAsia="zh-CN" w:bidi="ar-SA"/>
        </w:rPr>
        <w:t>推广绿色节能产品，推行绿色办公和大型活动碳中和，推进节水型城市建设。探索推广“碳积分”、低碳产品认证标识，丰富“碳绘黄石”碳普惠平台在</w:t>
      </w:r>
      <w:r>
        <w:rPr>
          <w:rFonts w:hint="eastAsia" w:ascii="Times New Roman" w:hAnsi="Times New Roman" w:eastAsia="仿宋_GB2312" w:cs="仿宋_GB2312"/>
          <w:b w:val="0"/>
          <w:bCs w:val="0"/>
          <w:color w:val="auto"/>
          <w:kern w:val="2"/>
          <w:sz w:val="32"/>
          <w:szCs w:val="22"/>
          <w:highlight w:val="none"/>
          <w:lang w:val="en-US" w:eastAsia="zh-CN" w:bidi="ar-SA"/>
        </w:rPr>
        <w:t>新能源车出行、骑行、居民节电等</w:t>
      </w:r>
      <w:r>
        <w:rPr>
          <w:rFonts w:hint="eastAsia" w:ascii="Times New Roman" w:hAnsi="Times New Roman" w:eastAsia="仿宋_GB2312" w:cs="仿宋_GB2312"/>
          <w:b w:val="0"/>
          <w:bCs w:val="0"/>
          <w:kern w:val="2"/>
          <w:sz w:val="32"/>
          <w:szCs w:val="32"/>
          <w:highlight w:val="none"/>
          <w:lang w:val="en-US" w:eastAsia="zh-CN" w:bidi="ar-SA"/>
        </w:rPr>
        <w:t>场景应用</w:t>
      </w:r>
      <w:r>
        <w:rPr>
          <w:rFonts w:hint="eastAsia" w:ascii="Times New Roman" w:hAnsi="Times New Roman" w:eastAsia="仿宋_GB2312" w:cs="仿宋_GB2312"/>
          <w:b w:val="0"/>
          <w:bCs w:val="0"/>
          <w:kern w:val="0"/>
          <w:sz w:val="32"/>
          <w:szCs w:val="32"/>
          <w:highlight w:val="none"/>
          <w:lang w:val="en-US" w:eastAsia="zh-CN"/>
        </w:rPr>
        <w:t>。到2028年，城区新能源公交车占比达到98%，鼓励新增或更新生活垃圾运输车、轻型环卫车、城市物流配送车，持续推进新能源化。</w:t>
      </w:r>
      <w:r>
        <w:rPr>
          <w:rFonts w:hint="eastAsia" w:ascii="楷体_GB2312" w:hAnsi="楷体_GB2312" w:eastAsia="楷体_GB2312" w:cs="楷体_GB2312"/>
          <w:b w:val="0"/>
          <w:bCs w:val="0"/>
          <w:kern w:val="2"/>
          <w:sz w:val="32"/>
          <w:szCs w:val="32"/>
          <w:highlight w:val="none"/>
          <w:lang w:val="en-US" w:eastAsia="zh-CN" w:bidi="ar-SA"/>
        </w:rPr>
        <w:t>（责任单位：市交通运输局、市城管委、市水利和湖泊局、市商务局、市生态环境局）</w:t>
      </w:r>
    </w:p>
    <w:p w14:paraId="628D4C87">
      <w:pPr>
        <w:keepNext w:val="0"/>
        <w:keepLines w:val="0"/>
        <w:pageBreakBefore w:val="0"/>
        <w:widowControl/>
        <w:numPr>
          <w:ilvl w:val="0"/>
          <w:numId w:val="2"/>
        </w:numPr>
        <w:suppressLineNumbers w:val="0"/>
        <w:kinsoku/>
        <w:wordWrap/>
        <w:overflowPunct/>
        <w:topLinePunct w:val="0"/>
        <w:autoSpaceDE/>
        <w:autoSpaceDN/>
        <w:bidi w:val="0"/>
        <w:adjustRightInd/>
        <w:snapToGrid/>
        <w:spacing w:before="0" w:beforeAutospacing="0" w:after="0" w:afterAutospacing="0" w:line="560" w:lineRule="exact"/>
        <w:ind w:left="0" w:leftChars="0" w:firstLine="643" w:firstLineChars="200"/>
        <w:jc w:val="both"/>
        <w:textAlignment w:val="auto"/>
        <w:outlineLvl w:val="2"/>
        <w:rPr>
          <w:rFonts w:hint="eastAsia" w:ascii="楷体_GB2312" w:hAnsi="楷体_GB2312" w:eastAsia="楷体_GB2312" w:cs="楷体_GB2312"/>
          <w:b w:val="0"/>
          <w:bCs w:val="0"/>
          <w:kern w:val="2"/>
          <w:sz w:val="32"/>
          <w:szCs w:val="32"/>
          <w:highlight w:val="none"/>
          <w:lang w:val="en-US" w:eastAsia="zh-CN" w:bidi="ar-SA"/>
        </w:rPr>
      </w:pPr>
      <w:r>
        <w:rPr>
          <w:rFonts w:hint="eastAsia" w:ascii="Times New Roman" w:hAnsi="Times New Roman" w:eastAsia="仿宋_GB2312" w:cs="仿宋_GB2312"/>
          <w:b/>
          <w:bCs/>
          <w:kern w:val="2"/>
          <w:sz w:val="32"/>
          <w:szCs w:val="32"/>
          <w:highlight w:val="none"/>
          <w:lang w:val="en-US" w:eastAsia="zh-CN" w:bidi="ar-SA"/>
        </w:rPr>
        <w:t>大力发展工业文旅新业态。打造矿冶文化世界名城，</w:t>
      </w:r>
      <w:r>
        <w:rPr>
          <w:rFonts w:hint="eastAsia" w:ascii="Times New Roman" w:hAnsi="Times New Roman" w:eastAsia="仿宋_GB2312" w:cs="仿宋_GB2312"/>
          <w:b w:val="0"/>
          <w:bCs w:val="0"/>
          <w:kern w:val="2"/>
          <w:sz w:val="32"/>
          <w:szCs w:val="32"/>
          <w:highlight w:val="none"/>
          <w:lang w:val="en-US" w:eastAsia="zh-CN" w:bidi="ar-SA"/>
        </w:rPr>
        <w:t>推进铜绿山古铜矿遗址、汉冶萍煤铁厂矿遗址、华新水泥厂旧址、大冶铁矿东露天采场旧址等遗产本体保护修缮，推动“中国古代矿冶遗址”“中国近代工业化遗产”申报世界文化遗产。</w:t>
      </w:r>
      <w:r>
        <w:rPr>
          <w:rFonts w:hint="eastAsia" w:ascii="Times New Roman" w:hAnsi="Times New Roman" w:eastAsia="仿宋_GB2312" w:cs="仿宋_GB2312"/>
          <w:b/>
          <w:bCs/>
          <w:kern w:val="2"/>
          <w:sz w:val="32"/>
          <w:szCs w:val="32"/>
          <w:highlight w:val="none"/>
          <w:lang w:val="en-US" w:eastAsia="zh-CN" w:bidi="ar-SA"/>
        </w:rPr>
        <w:t>创新“遗址+文旅”融合发展。</w:t>
      </w:r>
      <w:r>
        <w:rPr>
          <w:rFonts w:hint="eastAsia" w:ascii="Times New Roman" w:hAnsi="Times New Roman" w:eastAsia="仿宋_GB2312" w:cs="仿宋_GB2312"/>
          <w:b w:val="0"/>
          <w:bCs w:val="0"/>
          <w:kern w:val="2"/>
          <w:sz w:val="32"/>
          <w:szCs w:val="32"/>
          <w:highlight w:val="none"/>
          <w:lang w:val="en-US" w:eastAsia="zh-CN" w:bidi="ar-SA"/>
        </w:rPr>
        <w:t>加强卸矿机旧址、大冶钢厂苏式建筑群等历史文化街区“品牌化”活化利用，实施铜绿山古铜矿遗址博物馆、黄石市博物馆等场馆适旅化改造工程，构建主题鲜明的工业遗产博物馆群，开发工业文创衍生品和沉浸式体验项目。打造工业旅游精品线路，积极争创以工业遗产保护利用为特色的国家文物保护利用示范区。</w:t>
      </w:r>
      <w:r>
        <w:rPr>
          <w:rFonts w:hint="eastAsia" w:ascii="楷体_GB2312" w:hAnsi="楷体_GB2312" w:eastAsia="楷体_GB2312" w:cs="楷体_GB2312"/>
          <w:b w:val="0"/>
          <w:bCs w:val="0"/>
          <w:kern w:val="2"/>
          <w:sz w:val="32"/>
          <w:szCs w:val="32"/>
          <w:highlight w:val="none"/>
          <w:lang w:val="en-US" w:eastAsia="zh-CN" w:bidi="ar-SA"/>
        </w:rPr>
        <w:t>（责任单位：市文物保护中心、市住房和城市更新局、市文旅局）</w:t>
      </w:r>
    </w:p>
    <w:p w14:paraId="3EC3BB65">
      <w:pPr>
        <w:keepNext w:val="0"/>
        <w:keepLines w:val="0"/>
        <w:pageBreakBefore w:val="0"/>
        <w:numPr>
          <w:ilvl w:val="0"/>
          <w:numId w:val="1"/>
        </w:numPr>
        <w:kinsoku/>
        <w:wordWrap/>
        <w:overflowPunct/>
        <w:topLinePunct w:val="0"/>
        <w:autoSpaceDE/>
        <w:autoSpaceDN/>
        <w:bidi w:val="0"/>
        <w:adjustRightInd/>
        <w:snapToGrid/>
        <w:spacing w:beforeAutospacing="0" w:afterAutospacing="0" w:line="560" w:lineRule="exact"/>
        <w:ind w:left="0" w:leftChars="0" w:firstLine="640" w:firstLineChars="200"/>
        <w:jc w:val="both"/>
        <w:textAlignment w:val="auto"/>
        <w:outlineLvl w:val="1"/>
        <w:rPr>
          <w:rFonts w:hint="eastAsia" w:ascii="Times New Roman" w:hAnsi="Times New Roman" w:eastAsia="楷体_GB2312" w:cs="楷体_GB2312"/>
          <w:b w:val="0"/>
          <w:bCs w:val="0"/>
          <w:sz w:val="32"/>
          <w:szCs w:val="32"/>
          <w:highlight w:val="none"/>
          <w:lang w:val="en-US" w:eastAsia="zh-CN"/>
        </w:rPr>
      </w:pPr>
      <w:r>
        <w:rPr>
          <w:rFonts w:hint="eastAsia" w:ascii="Times New Roman" w:hAnsi="Times New Roman" w:eastAsia="楷体_GB2312" w:cs="楷体_GB2312"/>
          <w:b w:val="0"/>
          <w:bCs w:val="0"/>
          <w:sz w:val="32"/>
          <w:szCs w:val="32"/>
          <w:highlight w:val="none"/>
          <w:lang w:val="en-US" w:eastAsia="zh-CN"/>
        </w:rPr>
        <w:t>实施城市污染防治攻坚行动，打造碧水蓝天环境品质城市。</w:t>
      </w:r>
    </w:p>
    <w:p w14:paraId="61BA2B4E">
      <w:pPr>
        <w:keepNext w:val="0"/>
        <w:keepLines w:val="0"/>
        <w:pageBreakBefore w:val="0"/>
        <w:widowControl/>
        <w:numPr>
          <w:ilvl w:val="0"/>
          <w:numId w:val="2"/>
        </w:numPr>
        <w:suppressLineNumbers w:val="0"/>
        <w:kinsoku/>
        <w:wordWrap/>
        <w:overflowPunct/>
        <w:topLinePunct w:val="0"/>
        <w:autoSpaceDE/>
        <w:autoSpaceDN/>
        <w:bidi w:val="0"/>
        <w:adjustRightInd/>
        <w:snapToGrid/>
        <w:spacing w:before="0" w:beforeAutospacing="0" w:after="0" w:afterAutospacing="0" w:line="560" w:lineRule="exact"/>
        <w:ind w:left="0" w:leftChars="0" w:firstLine="643" w:firstLineChars="200"/>
        <w:jc w:val="both"/>
        <w:textAlignment w:val="auto"/>
        <w:outlineLvl w:val="2"/>
        <w:rPr>
          <w:rFonts w:hint="default" w:ascii="楷体_GB2312" w:hAnsi="楷体_GB2312" w:eastAsia="楷体_GB2312" w:cs="楷体_GB2312"/>
          <w:b w:val="0"/>
          <w:bCs w:val="0"/>
          <w:kern w:val="2"/>
          <w:sz w:val="32"/>
          <w:szCs w:val="32"/>
          <w:highlight w:val="none"/>
          <w:lang w:val="en-US" w:eastAsia="zh-CN" w:bidi="ar-SA"/>
        </w:rPr>
      </w:pPr>
      <w:r>
        <w:rPr>
          <w:rFonts w:hint="eastAsia" w:ascii="Times New Roman" w:hAnsi="Times New Roman" w:eastAsia="仿宋_GB2312" w:cs="仿宋_GB2312"/>
          <w:b/>
          <w:bCs/>
          <w:kern w:val="2"/>
          <w:sz w:val="32"/>
          <w:szCs w:val="32"/>
          <w:highlight w:val="none"/>
          <w:lang w:val="en-US" w:eastAsia="zh-CN" w:bidi="ar-SA"/>
        </w:rPr>
        <w:t>推进水环境质量巩固提升。开展</w:t>
      </w:r>
      <w:r>
        <w:rPr>
          <w:rFonts w:hint="eastAsia" w:ascii="Times New Roman" w:hAnsi="Times New Roman" w:eastAsia="仿宋_GB2312" w:cs="Times New Roman"/>
          <w:b/>
          <w:bCs/>
          <w:kern w:val="0"/>
          <w:sz w:val="32"/>
          <w:szCs w:val="32"/>
          <w:highlight w:val="none"/>
          <w:lang w:val="en-US" w:eastAsia="zh-CN"/>
        </w:rPr>
        <w:t>城镇污水管网建设与改造，</w:t>
      </w:r>
      <w:r>
        <w:rPr>
          <w:rFonts w:hint="eastAsia" w:ascii="Times New Roman" w:hAnsi="Times New Roman" w:eastAsia="仿宋_GB2312" w:cs="Times New Roman"/>
          <w:b w:val="0"/>
          <w:bCs w:val="0"/>
          <w:kern w:val="0"/>
          <w:sz w:val="32"/>
          <w:szCs w:val="32"/>
          <w:highlight w:val="none"/>
          <w:lang w:val="en-US" w:eastAsia="zh-CN"/>
        </w:rPr>
        <w:t>实施城区花湖和青山湖片区、团城山片区等区域生活污水收集管网完善工程，打造城市污水管网全覆盖样板区。推行</w:t>
      </w:r>
      <w:r>
        <w:rPr>
          <w:rFonts w:hint="default" w:ascii="Times New Roman" w:hAnsi="Times New Roman" w:eastAsia="仿宋_GB2312" w:cs="Times New Roman"/>
          <w:b w:val="0"/>
          <w:bCs w:val="0"/>
          <w:kern w:val="0"/>
          <w:sz w:val="32"/>
          <w:szCs w:val="32"/>
          <w:highlight w:val="none"/>
          <w:lang w:val="en-US" w:eastAsia="zh-CN"/>
        </w:rPr>
        <w:t>污水处理厂、管网与河湖水体联动</w:t>
      </w:r>
      <w:r>
        <w:rPr>
          <w:rFonts w:hint="eastAsia" w:ascii="Times New Roman" w:hAnsi="Times New Roman" w:eastAsia="仿宋_GB2312" w:cs="Times New Roman"/>
          <w:b w:val="0"/>
          <w:bCs w:val="0"/>
          <w:kern w:val="0"/>
          <w:sz w:val="32"/>
          <w:szCs w:val="32"/>
          <w:highlight w:val="none"/>
          <w:lang w:val="en-US" w:eastAsia="zh-CN"/>
        </w:rPr>
        <w:t>“</w:t>
      </w:r>
      <w:r>
        <w:rPr>
          <w:rFonts w:hint="default" w:ascii="Times New Roman" w:hAnsi="Times New Roman" w:eastAsia="仿宋_GB2312" w:cs="Times New Roman"/>
          <w:b w:val="0"/>
          <w:bCs w:val="0"/>
          <w:kern w:val="0"/>
          <w:sz w:val="32"/>
          <w:szCs w:val="32"/>
          <w:highlight w:val="none"/>
          <w:lang w:val="en-US" w:eastAsia="zh-CN"/>
        </w:rPr>
        <w:t>厂网河</w:t>
      </w:r>
      <w:r>
        <w:rPr>
          <w:rFonts w:hint="eastAsia" w:ascii="Times New Roman" w:hAnsi="Times New Roman" w:eastAsia="仿宋_GB2312" w:cs="Times New Roman"/>
          <w:b w:val="0"/>
          <w:bCs w:val="0"/>
          <w:kern w:val="0"/>
          <w:sz w:val="32"/>
          <w:szCs w:val="32"/>
          <w:highlight w:val="none"/>
          <w:lang w:val="en-US" w:eastAsia="zh-CN"/>
        </w:rPr>
        <w:t>（</w:t>
      </w:r>
      <w:r>
        <w:rPr>
          <w:rFonts w:hint="default" w:ascii="Times New Roman" w:hAnsi="Times New Roman" w:eastAsia="仿宋_GB2312" w:cs="Times New Roman"/>
          <w:b w:val="0"/>
          <w:bCs w:val="0"/>
          <w:kern w:val="0"/>
          <w:sz w:val="32"/>
          <w:szCs w:val="32"/>
          <w:highlight w:val="none"/>
          <w:lang w:val="en-US" w:eastAsia="zh-CN"/>
        </w:rPr>
        <w:t>湖</w:t>
      </w:r>
      <w:r>
        <w:rPr>
          <w:rFonts w:hint="eastAsia" w:ascii="Times New Roman" w:hAnsi="Times New Roman" w:eastAsia="仿宋_GB2312" w:cs="Times New Roman"/>
          <w:b w:val="0"/>
          <w:bCs w:val="0"/>
          <w:kern w:val="0"/>
          <w:sz w:val="32"/>
          <w:szCs w:val="32"/>
          <w:highlight w:val="none"/>
          <w:lang w:val="en-US" w:eastAsia="zh-CN"/>
        </w:rPr>
        <w:t>）</w:t>
      </w:r>
      <w:r>
        <w:rPr>
          <w:rFonts w:hint="default" w:ascii="Times New Roman" w:hAnsi="Times New Roman" w:eastAsia="仿宋_GB2312" w:cs="Times New Roman"/>
          <w:b w:val="0"/>
          <w:bCs w:val="0"/>
          <w:kern w:val="0"/>
          <w:sz w:val="32"/>
          <w:szCs w:val="32"/>
          <w:highlight w:val="none"/>
          <w:lang w:val="en-US" w:eastAsia="zh-CN"/>
        </w:rPr>
        <w:t>一体</w:t>
      </w:r>
      <w:r>
        <w:rPr>
          <w:rFonts w:hint="eastAsia" w:ascii="Times New Roman" w:hAnsi="Times New Roman" w:eastAsia="仿宋_GB2312" w:cs="Times New Roman"/>
          <w:b w:val="0"/>
          <w:bCs w:val="0"/>
          <w:kern w:val="0"/>
          <w:sz w:val="32"/>
          <w:szCs w:val="32"/>
          <w:highlight w:val="none"/>
          <w:lang w:val="en-US" w:eastAsia="zh-CN"/>
        </w:rPr>
        <w:t>”</w:t>
      </w:r>
      <w:r>
        <w:rPr>
          <w:rFonts w:hint="default" w:ascii="Times New Roman" w:hAnsi="Times New Roman" w:eastAsia="仿宋_GB2312" w:cs="Times New Roman"/>
          <w:b w:val="0"/>
          <w:bCs w:val="0"/>
          <w:kern w:val="0"/>
          <w:sz w:val="32"/>
          <w:szCs w:val="32"/>
          <w:highlight w:val="none"/>
          <w:lang w:val="en-US" w:eastAsia="zh-CN"/>
        </w:rPr>
        <w:t>专业化运维机制</w:t>
      </w:r>
      <w:r>
        <w:rPr>
          <w:rFonts w:hint="eastAsia" w:ascii="Times New Roman" w:hAnsi="Times New Roman" w:eastAsia="仿宋_GB2312" w:cs="Times New Roman"/>
          <w:b w:val="0"/>
          <w:bCs w:val="0"/>
          <w:kern w:val="0"/>
          <w:sz w:val="32"/>
          <w:szCs w:val="32"/>
          <w:highlight w:val="none"/>
          <w:lang w:val="en-US" w:eastAsia="zh-CN"/>
        </w:rPr>
        <w:t>。</w:t>
      </w:r>
      <w:r>
        <w:rPr>
          <w:rFonts w:hint="eastAsia" w:ascii="Times New Roman" w:hAnsi="Times New Roman" w:eastAsia="仿宋_GB2312" w:cs="Times New Roman"/>
          <w:b/>
          <w:bCs/>
          <w:kern w:val="0"/>
          <w:sz w:val="32"/>
          <w:szCs w:val="32"/>
          <w:highlight w:val="none"/>
          <w:lang w:val="en-US" w:eastAsia="zh-CN"/>
        </w:rPr>
        <w:t>巩固城市黑臭水体治理成效，</w:t>
      </w:r>
      <w:r>
        <w:rPr>
          <w:rFonts w:hint="eastAsia" w:ascii="Times New Roman" w:hAnsi="Times New Roman" w:eastAsia="仿宋_GB2312" w:cs="Times New Roman"/>
          <w:b w:val="0"/>
          <w:bCs w:val="0"/>
          <w:kern w:val="0"/>
          <w:sz w:val="32"/>
          <w:szCs w:val="32"/>
          <w:highlight w:val="none"/>
          <w:lang w:val="en-US" w:eastAsia="zh-CN"/>
        </w:rPr>
        <w:t>强化监测抽查，健全</w:t>
      </w:r>
      <w:r>
        <w:rPr>
          <w:rFonts w:hint="eastAsia" w:ascii="Times New Roman" w:hAnsi="Times New Roman" w:eastAsia="仿宋_GB2312" w:cs="仿宋_GB2312"/>
          <w:b w:val="0"/>
          <w:bCs w:val="0"/>
          <w:kern w:val="2"/>
          <w:sz w:val="32"/>
          <w:szCs w:val="32"/>
          <w:highlight w:val="none"/>
          <w:lang w:val="en-US" w:eastAsia="zh-CN" w:bidi="ar-SA"/>
        </w:rPr>
        <w:t>长效监管与</w:t>
      </w:r>
      <w:r>
        <w:rPr>
          <w:rFonts w:hint="eastAsia" w:ascii="Times New Roman" w:hAnsi="Times New Roman" w:eastAsia="仿宋_GB2312" w:cs="Times New Roman"/>
          <w:b w:val="0"/>
          <w:bCs w:val="0"/>
          <w:kern w:val="0"/>
          <w:sz w:val="32"/>
          <w:szCs w:val="32"/>
          <w:highlight w:val="none"/>
          <w:lang w:val="en-US" w:eastAsia="zh-CN"/>
        </w:rPr>
        <w:t>返黑返臭防范机制。</w:t>
      </w:r>
      <w:r>
        <w:rPr>
          <w:rFonts w:hint="eastAsia" w:ascii="Times New Roman" w:hAnsi="Times New Roman" w:eastAsia="仿宋_GB2312" w:cs="Times New Roman"/>
          <w:b/>
          <w:bCs/>
          <w:kern w:val="0"/>
          <w:sz w:val="32"/>
          <w:szCs w:val="32"/>
          <w:highlight w:val="none"/>
          <w:lang w:val="en-US" w:eastAsia="zh-CN"/>
        </w:rPr>
        <w:t>打好湖泊治理攻坚战，</w:t>
      </w:r>
      <w:r>
        <w:rPr>
          <w:rFonts w:hint="eastAsia" w:ascii="Times New Roman" w:hAnsi="Times New Roman" w:eastAsia="仿宋_GB2312" w:cs="Times New Roman"/>
          <w:b w:val="0"/>
          <w:bCs w:val="0"/>
          <w:kern w:val="0"/>
          <w:sz w:val="32"/>
          <w:szCs w:val="32"/>
          <w:highlight w:val="none"/>
          <w:lang w:val="en-US" w:eastAsia="zh-CN"/>
        </w:rPr>
        <w:t>加强磁湖、网湖等重点湖泊综合治理和修复，推进长江黄石段、长港</w:t>
      </w:r>
      <w:r>
        <w:rPr>
          <w:rFonts w:hint="eastAsia" w:ascii="Times New Roman" w:hAnsi="Times New Roman" w:eastAsia="仿宋_GB2312" w:cs="仿宋_GB2312"/>
          <w:b w:val="0"/>
          <w:bCs w:val="0"/>
          <w:kern w:val="0"/>
          <w:sz w:val="32"/>
          <w:szCs w:val="32"/>
          <w:highlight w:val="none"/>
          <w:lang w:val="en-US" w:eastAsia="zh-CN"/>
        </w:rPr>
        <w:t>等重要水体建设</w:t>
      </w:r>
      <w:r>
        <w:rPr>
          <w:rFonts w:hint="eastAsia" w:ascii="Times New Roman" w:hAnsi="Times New Roman" w:eastAsia="仿宋_GB2312" w:cs="Times New Roman"/>
          <w:b w:val="0"/>
          <w:bCs w:val="0"/>
          <w:kern w:val="0"/>
          <w:sz w:val="32"/>
          <w:szCs w:val="32"/>
          <w:highlight w:val="none"/>
          <w:lang w:val="en-US" w:eastAsia="zh-CN"/>
        </w:rPr>
        <w:t>美丽河湖，实施夏浴湖幸福河湖建设。到2027年，建设4条美丽河湖，</w:t>
      </w:r>
      <w:r>
        <w:rPr>
          <w:rFonts w:hint="default" w:ascii="Times New Roman" w:hAnsi="Times New Roman" w:eastAsia="仿宋_GB2312" w:cs="宋体"/>
          <w:b w:val="0"/>
          <w:bCs w:val="0"/>
          <w:kern w:val="0"/>
          <w:sz w:val="32"/>
          <w:szCs w:val="32"/>
          <w:highlight w:val="none"/>
          <w:lang w:val="en-US" w:eastAsia="zh-CN"/>
        </w:rPr>
        <w:t>城市生活污水集中收集率</w:t>
      </w:r>
      <w:r>
        <w:rPr>
          <w:rFonts w:hint="eastAsia" w:ascii="Times New Roman" w:hAnsi="Times New Roman" w:eastAsia="仿宋_GB2312" w:cs="仿宋_GB2312"/>
          <w:b w:val="0"/>
          <w:bCs w:val="0"/>
          <w:kern w:val="2"/>
          <w:sz w:val="32"/>
          <w:szCs w:val="32"/>
          <w:highlight w:val="none"/>
          <w:lang w:val="en-US" w:eastAsia="zh-CN" w:bidi="ar-SA"/>
        </w:rPr>
        <w:t>达到80%。到2030年，</w:t>
      </w:r>
      <w:r>
        <w:rPr>
          <w:rFonts w:hint="default" w:ascii="Times New Roman" w:hAnsi="Times New Roman" w:eastAsia="仿宋_GB2312" w:cs="宋体"/>
          <w:b w:val="0"/>
          <w:bCs w:val="0"/>
          <w:kern w:val="0"/>
          <w:sz w:val="32"/>
          <w:szCs w:val="32"/>
          <w:highlight w:val="none"/>
          <w:lang w:val="en-US" w:eastAsia="zh-CN"/>
        </w:rPr>
        <w:t>城市生活污水集中收集率</w:t>
      </w:r>
      <w:r>
        <w:rPr>
          <w:rFonts w:hint="eastAsia" w:ascii="Times New Roman" w:hAnsi="Times New Roman" w:eastAsia="仿宋_GB2312" w:cs="仿宋_GB2312"/>
          <w:b w:val="0"/>
          <w:bCs w:val="0"/>
          <w:kern w:val="2"/>
          <w:sz w:val="32"/>
          <w:szCs w:val="32"/>
          <w:highlight w:val="none"/>
          <w:lang w:val="en-US" w:eastAsia="zh-CN" w:bidi="ar-SA"/>
        </w:rPr>
        <w:t>达到85%</w:t>
      </w:r>
      <w:r>
        <w:rPr>
          <w:rFonts w:hint="eastAsia" w:ascii="Times New Roman" w:hAnsi="Times New Roman" w:eastAsia="仿宋_GB2312" w:cs="宋体"/>
          <w:b w:val="0"/>
          <w:bCs w:val="0"/>
          <w:kern w:val="0"/>
          <w:sz w:val="32"/>
          <w:szCs w:val="32"/>
          <w:highlight w:val="none"/>
          <w:lang w:val="en-US" w:eastAsia="zh-CN"/>
        </w:rPr>
        <w:t>。</w:t>
      </w:r>
      <w:r>
        <w:rPr>
          <w:rFonts w:hint="eastAsia" w:ascii="楷体_GB2312" w:hAnsi="楷体_GB2312" w:eastAsia="楷体_GB2312" w:cs="楷体_GB2312"/>
          <w:b w:val="0"/>
          <w:bCs w:val="0"/>
          <w:kern w:val="2"/>
          <w:sz w:val="32"/>
          <w:szCs w:val="32"/>
          <w:highlight w:val="none"/>
          <w:lang w:val="en-US" w:eastAsia="zh-CN" w:bidi="ar-SA"/>
        </w:rPr>
        <w:t>（责任单位：市城管委、市水利和湖泊局、市生态环境局）</w:t>
      </w:r>
    </w:p>
    <w:p w14:paraId="221E08C9">
      <w:pPr>
        <w:keepNext w:val="0"/>
        <w:keepLines w:val="0"/>
        <w:pageBreakBefore w:val="0"/>
        <w:widowControl/>
        <w:numPr>
          <w:ilvl w:val="0"/>
          <w:numId w:val="2"/>
        </w:numPr>
        <w:suppressLineNumbers w:val="0"/>
        <w:kinsoku/>
        <w:wordWrap/>
        <w:overflowPunct/>
        <w:topLinePunct w:val="0"/>
        <w:autoSpaceDE/>
        <w:autoSpaceDN/>
        <w:bidi w:val="0"/>
        <w:adjustRightInd/>
        <w:snapToGrid/>
        <w:spacing w:before="0" w:beforeAutospacing="0" w:after="0" w:afterAutospacing="0" w:line="560" w:lineRule="exact"/>
        <w:ind w:left="0" w:leftChars="0" w:firstLine="643" w:firstLineChars="200"/>
        <w:jc w:val="both"/>
        <w:textAlignment w:val="auto"/>
        <w:outlineLvl w:val="2"/>
        <w:rPr>
          <w:rFonts w:hint="default" w:ascii="楷体_GB2312" w:hAnsi="楷体_GB2312" w:eastAsia="楷体_GB2312" w:cs="楷体_GB2312"/>
          <w:b w:val="0"/>
          <w:bCs w:val="0"/>
          <w:kern w:val="2"/>
          <w:sz w:val="32"/>
          <w:szCs w:val="32"/>
          <w:highlight w:val="none"/>
          <w:lang w:val="en-US" w:eastAsia="zh-CN" w:bidi="ar-SA"/>
        </w:rPr>
      </w:pPr>
      <w:r>
        <w:rPr>
          <w:rFonts w:hint="eastAsia" w:ascii="Times New Roman" w:hAnsi="Times New Roman" w:eastAsia="仿宋_GB2312" w:cs="仿宋_GB2312"/>
          <w:b/>
          <w:bCs/>
          <w:kern w:val="2"/>
          <w:sz w:val="32"/>
          <w:szCs w:val="32"/>
          <w:highlight w:val="none"/>
          <w:lang w:val="en-US" w:eastAsia="zh-CN" w:bidi="ar-SA"/>
        </w:rPr>
        <w:t>推进大气环境质量持续改善。加强重点行业全链条治理，</w:t>
      </w:r>
      <w:r>
        <w:rPr>
          <w:rFonts w:hint="eastAsia" w:ascii="Times New Roman" w:hAnsi="Times New Roman" w:eastAsia="仿宋_GB2312" w:cs="仿宋_GB2312"/>
          <w:b w:val="0"/>
          <w:bCs w:val="0"/>
          <w:kern w:val="2"/>
          <w:sz w:val="32"/>
          <w:szCs w:val="32"/>
          <w:highlight w:val="none"/>
          <w:lang w:val="en-US" w:eastAsia="zh-CN" w:bidi="ar-SA"/>
        </w:rPr>
        <w:t>实施水泥、焦化等行业超低排放改造，开展重点行业企业绩效提级行动。</w:t>
      </w:r>
      <w:r>
        <w:rPr>
          <w:rFonts w:hint="eastAsia" w:ascii="Times New Roman" w:hAnsi="Times New Roman" w:eastAsia="仿宋_GB2312" w:cs="仿宋_GB2312"/>
          <w:b/>
          <w:bCs/>
          <w:kern w:val="2"/>
          <w:sz w:val="32"/>
          <w:szCs w:val="32"/>
          <w:highlight w:val="none"/>
          <w:lang w:val="en-US" w:eastAsia="zh-CN" w:bidi="ar-SA"/>
        </w:rPr>
        <w:t>强化城市移动源污染监管，</w:t>
      </w:r>
      <w:r>
        <w:rPr>
          <w:rFonts w:hint="eastAsia" w:ascii="Times New Roman" w:hAnsi="Times New Roman" w:eastAsia="仿宋_GB2312" w:cs="仿宋_GB2312"/>
          <w:b w:val="0"/>
          <w:bCs w:val="0"/>
          <w:kern w:val="2"/>
          <w:sz w:val="32"/>
          <w:szCs w:val="32"/>
          <w:highlight w:val="none"/>
          <w:lang w:val="en-US" w:eastAsia="zh-CN" w:bidi="ar-SA"/>
        </w:rPr>
        <w:t>加快淘汰高排放汽车和非道路移动机械，加强国四及以下柴油货车禁限行区管控。</w:t>
      </w:r>
      <w:r>
        <w:rPr>
          <w:rFonts w:hint="eastAsia" w:ascii="Times New Roman" w:hAnsi="Times New Roman" w:eastAsia="仿宋_GB2312" w:cs="仿宋_GB2312"/>
          <w:b/>
          <w:bCs/>
          <w:kern w:val="2"/>
          <w:sz w:val="32"/>
          <w:szCs w:val="32"/>
          <w:highlight w:val="none"/>
          <w:lang w:val="en-US" w:eastAsia="zh-CN" w:bidi="ar-SA"/>
        </w:rPr>
        <w:t>深化城市面源污染治理，</w:t>
      </w:r>
      <w:r>
        <w:rPr>
          <w:rFonts w:hint="eastAsia" w:ascii="Times New Roman" w:hAnsi="Times New Roman" w:eastAsia="仿宋_GB2312" w:cs="仿宋_GB2312"/>
          <w:b w:val="0"/>
          <w:bCs w:val="0"/>
          <w:kern w:val="2"/>
          <w:sz w:val="32"/>
          <w:szCs w:val="32"/>
          <w:highlight w:val="none"/>
          <w:lang w:val="en-US" w:eastAsia="zh-CN" w:bidi="ar-SA"/>
        </w:rPr>
        <w:t>定期开展油烟、恶臭重点投诉案件调度，推广餐饮油烟“绿岛”深度治理，实施油烟治理设施智能监控。推行建筑工地“湿法作业”，推进城市建成区主次干道“吸扫冲收”一体化。</w:t>
      </w:r>
      <w:r>
        <w:rPr>
          <w:rFonts w:hint="eastAsia" w:ascii="Times New Roman" w:hAnsi="Times New Roman" w:eastAsia="仿宋_GB2312" w:cs="仿宋_GB2312"/>
          <w:b/>
          <w:bCs/>
          <w:kern w:val="2"/>
          <w:sz w:val="32"/>
          <w:szCs w:val="32"/>
          <w:highlight w:val="none"/>
          <w:lang w:val="en-US" w:eastAsia="zh-CN" w:bidi="ar-SA"/>
        </w:rPr>
        <w:t>加强区域联防联控，</w:t>
      </w:r>
      <w:r>
        <w:rPr>
          <w:rFonts w:hint="eastAsia" w:ascii="Times New Roman" w:hAnsi="Times New Roman" w:eastAsia="仿宋_GB2312" w:cs="仿宋_GB2312"/>
          <w:b w:val="0"/>
          <w:bCs w:val="0"/>
          <w:kern w:val="2"/>
          <w:sz w:val="32"/>
          <w:szCs w:val="32"/>
          <w:highlight w:val="none"/>
          <w:lang w:val="en-US" w:eastAsia="zh-CN" w:bidi="ar-SA"/>
        </w:rPr>
        <w:t>积极参与长江中游城市群、武汉都市圈大气污染联防联控。到2027年，城市PM</w:t>
      </w:r>
      <w:r>
        <w:rPr>
          <w:rFonts w:hint="eastAsia" w:ascii="Times New Roman" w:hAnsi="Times New Roman" w:eastAsia="仿宋_GB2312" w:cs="仿宋_GB2312"/>
          <w:b w:val="0"/>
          <w:bCs w:val="0"/>
          <w:kern w:val="2"/>
          <w:sz w:val="32"/>
          <w:szCs w:val="32"/>
          <w:highlight w:val="none"/>
          <w:vertAlign w:val="subscript"/>
          <w:lang w:val="en-US" w:eastAsia="zh-CN" w:bidi="ar-SA"/>
        </w:rPr>
        <w:t>2.5</w:t>
      </w:r>
      <w:r>
        <w:rPr>
          <w:rFonts w:hint="eastAsia" w:ascii="Times New Roman" w:hAnsi="Times New Roman" w:eastAsia="仿宋_GB2312" w:cs="仿宋_GB2312"/>
          <w:b w:val="0"/>
          <w:bCs w:val="0"/>
          <w:kern w:val="2"/>
          <w:sz w:val="32"/>
          <w:szCs w:val="32"/>
          <w:highlight w:val="none"/>
          <w:lang w:val="en-US" w:eastAsia="zh-CN" w:bidi="ar-SA"/>
        </w:rPr>
        <w:t>完成省定目标要求，基本消除重污染天气。</w:t>
      </w:r>
      <w:r>
        <w:rPr>
          <w:rFonts w:hint="eastAsia" w:ascii="楷体_GB2312" w:hAnsi="楷体_GB2312" w:eastAsia="楷体_GB2312" w:cs="楷体_GB2312"/>
          <w:b w:val="0"/>
          <w:bCs w:val="0"/>
          <w:kern w:val="2"/>
          <w:sz w:val="32"/>
          <w:szCs w:val="32"/>
          <w:highlight w:val="none"/>
          <w:lang w:val="en-US" w:eastAsia="zh-CN" w:bidi="ar-SA"/>
        </w:rPr>
        <w:t>（责任单位：市生态环境局、市交通运输局、市住房和城市更新局、</w:t>
      </w:r>
      <w:r>
        <w:rPr>
          <w:rFonts w:hint="eastAsia" w:ascii="楷体_GB2312" w:hAnsi="宋体" w:eastAsia="楷体_GB2312" w:cs="楷体_GB2312"/>
          <w:b w:val="0"/>
          <w:bCs w:val="0"/>
          <w:kern w:val="2"/>
          <w:sz w:val="32"/>
          <w:szCs w:val="32"/>
        </w:rPr>
        <w:t>市自然资源和城乡建设局</w:t>
      </w:r>
      <w:r>
        <w:rPr>
          <w:rFonts w:hint="eastAsia" w:ascii="楷体_GB2312" w:hAnsi="楷体_GB2312" w:eastAsia="楷体_GB2312" w:cs="楷体_GB2312"/>
          <w:b w:val="0"/>
          <w:bCs w:val="0"/>
          <w:kern w:val="2"/>
          <w:sz w:val="32"/>
          <w:szCs w:val="32"/>
          <w:highlight w:val="none"/>
          <w:lang w:val="en-US" w:eastAsia="zh-CN" w:bidi="ar-SA"/>
        </w:rPr>
        <w:t>）</w:t>
      </w:r>
    </w:p>
    <w:p w14:paraId="46AA72B7">
      <w:pPr>
        <w:keepNext w:val="0"/>
        <w:keepLines w:val="0"/>
        <w:pageBreakBefore w:val="0"/>
        <w:widowControl/>
        <w:numPr>
          <w:ilvl w:val="0"/>
          <w:numId w:val="2"/>
        </w:numPr>
        <w:suppressLineNumbers w:val="0"/>
        <w:kinsoku/>
        <w:wordWrap/>
        <w:overflowPunct/>
        <w:topLinePunct w:val="0"/>
        <w:autoSpaceDE/>
        <w:autoSpaceDN/>
        <w:bidi w:val="0"/>
        <w:adjustRightInd/>
        <w:snapToGrid/>
        <w:spacing w:before="0" w:beforeAutospacing="0" w:after="0" w:afterAutospacing="0" w:line="560" w:lineRule="exact"/>
        <w:ind w:left="0" w:leftChars="0" w:firstLine="643" w:firstLineChars="200"/>
        <w:jc w:val="both"/>
        <w:textAlignment w:val="auto"/>
        <w:outlineLvl w:val="2"/>
        <w:rPr>
          <w:rFonts w:hint="default" w:ascii="楷体_GB2312" w:hAnsi="楷体_GB2312" w:eastAsia="楷体_GB2312" w:cs="楷体_GB2312"/>
          <w:b w:val="0"/>
          <w:bCs w:val="0"/>
          <w:kern w:val="2"/>
          <w:sz w:val="32"/>
          <w:szCs w:val="32"/>
          <w:highlight w:val="none"/>
          <w:lang w:val="en-US" w:eastAsia="zh-CN" w:bidi="ar-SA"/>
        </w:rPr>
      </w:pPr>
      <w:r>
        <w:rPr>
          <w:rFonts w:hint="eastAsia" w:ascii="Times New Roman" w:hAnsi="Times New Roman" w:eastAsia="仿宋_GB2312" w:cs="仿宋_GB2312"/>
          <w:b/>
          <w:bCs/>
          <w:kern w:val="2"/>
          <w:sz w:val="32"/>
          <w:szCs w:val="32"/>
          <w:highlight w:val="none"/>
          <w:lang w:val="en-US" w:eastAsia="zh-CN" w:bidi="ar-SA"/>
        </w:rPr>
        <w:t>加强土壤污染防控与修复。强化土壤污染源头防控，</w:t>
      </w:r>
      <w:r>
        <w:rPr>
          <w:rFonts w:hint="eastAsia" w:ascii="Times New Roman" w:hAnsi="Times New Roman" w:eastAsia="仿宋_GB2312" w:cs="宋体"/>
          <w:b w:val="0"/>
          <w:bCs w:val="0"/>
          <w:kern w:val="0"/>
          <w:sz w:val="32"/>
          <w:szCs w:val="27"/>
          <w:highlight w:val="none"/>
          <w:lang w:val="en-US" w:eastAsia="zh-CN"/>
        </w:rPr>
        <w:t>持续开展土壤污染隐患排查整治，加强重点监管单位周边土壤环境监测。</w:t>
      </w:r>
      <w:r>
        <w:rPr>
          <w:rFonts w:hint="eastAsia" w:ascii="Times New Roman" w:hAnsi="Times New Roman" w:eastAsia="仿宋_GB2312" w:cs="仿宋_GB2312"/>
          <w:b/>
          <w:bCs/>
          <w:kern w:val="2"/>
          <w:sz w:val="32"/>
          <w:szCs w:val="32"/>
          <w:highlight w:val="none"/>
          <w:lang w:val="en-US" w:eastAsia="zh-CN" w:bidi="ar-SA"/>
        </w:rPr>
        <w:t>严格建设用地准入管理，</w:t>
      </w:r>
      <w:r>
        <w:rPr>
          <w:rFonts w:hint="eastAsia" w:ascii="Times New Roman" w:hAnsi="Times New Roman" w:eastAsia="仿宋_GB2312" w:cs="宋体"/>
          <w:b w:val="0"/>
          <w:bCs w:val="0"/>
          <w:kern w:val="0"/>
          <w:sz w:val="32"/>
          <w:szCs w:val="27"/>
          <w:highlight w:val="none"/>
          <w:lang w:val="en-US" w:eastAsia="zh-CN"/>
        </w:rPr>
        <w:t>强化</w:t>
      </w:r>
      <w:r>
        <w:rPr>
          <w:rFonts w:hint="eastAsia" w:ascii="Times New Roman" w:hAnsi="Times New Roman" w:eastAsia="仿宋_GB2312" w:cs="仿宋_GB2312"/>
          <w:b w:val="0"/>
          <w:bCs w:val="0"/>
          <w:kern w:val="2"/>
          <w:sz w:val="32"/>
          <w:szCs w:val="32"/>
          <w:highlight w:val="none"/>
          <w:lang w:val="en-US" w:eastAsia="zh-CN" w:bidi="ar-SA"/>
        </w:rPr>
        <w:t>受污染建设用地用途管控，</w:t>
      </w:r>
      <w:r>
        <w:rPr>
          <w:rFonts w:hint="eastAsia" w:ascii="Times New Roman" w:hAnsi="Times New Roman" w:eastAsia="仿宋_GB2312" w:cs="宋体"/>
          <w:b w:val="0"/>
          <w:bCs w:val="0"/>
          <w:kern w:val="0"/>
          <w:sz w:val="32"/>
          <w:szCs w:val="27"/>
          <w:highlight w:val="none"/>
          <w:lang w:val="en-US" w:eastAsia="zh-CN"/>
        </w:rPr>
        <w:t>将符合条件的污染地块优先用于生态空间拓展</w:t>
      </w:r>
      <w:r>
        <w:rPr>
          <w:rFonts w:hint="eastAsia" w:ascii="Times New Roman" w:hAnsi="Times New Roman" w:eastAsia="仿宋_GB2312" w:cs="仿宋_GB2312"/>
          <w:b w:val="0"/>
          <w:bCs w:val="0"/>
          <w:kern w:val="2"/>
          <w:sz w:val="32"/>
          <w:szCs w:val="32"/>
          <w:highlight w:val="none"/>
          <w:lang w:val="en-US" w:eastAsia="zh-CN" w:bidi="ar-SA"/>
        </w:rPr>
        <w:t>。</w:t>
      </w:r>
      <w:r>
        <w:rPr>
          <w:rFonts w:hint="eastAsia" w:ascii="Times New Roman" w:hAnsi="Times New Roman" w:eastAsia="仿宋_GB2312" w:cs="宋体"/>
          <w:b w:val="0"/>
          <w:bCs w:val="0"/>
          <w:kern w:val="0"/>
          <w:sz w:val="32"/>
          <w:szCs w:val="27"/>
          <w:highlight w:val="none"/>
          <w:lang w:val="en-US" w:eastAsia="zh-CN"/>
        </w:rPr>
        <w:t>加强建设用地用途变更和污染地块风险管控联动，</w:t>
      </w:r>
      <w:r>
        <w:rPr>
          <w:rFonts w:hint="default" w:ascii="Times New Roman" w:hAnsi="Times New Roman" w:eastAsia="仿宋_GB2312" w:cs="仿宋_GB2312"/>
          <w:b w:val="0"/>
          <w:bCs w:val="0"/>
          <w:kern w:val="2"/>
          <w:sz w:val="32"/>
          <w:szCs w:val="32"/>
          <w:highlight w:val="none"/>
          <w:lang w:val="en-US" w:eastAsia="zh-CN" w:bidi="ar-SA"/>
        </w:rPr>
        <w:t>督促</w:t>
      </w:r>
      <w:r>
        <w:rPr>
          <w:rFonts w:hint="eastAsia" w:ascii="Times New Roman" w:hAnsi="Times New Roman" w:eastAsia="仿宋_GB2312" w:cs="仿宋_GB2312"/>
          <w:b w:val="0"/>
          <w:bCs w:val="0"/>
          <w:kern w:val="2"/>
          <w:sz w:val="32"/>
          <w:szCs w:val="32"/>
          <w:highlight w:val="none"/>
          <w:lang w:val="en-US" w:eastAsia="zh-CN" w:bidi="ar-SA"/>
        </w:rPr>
        <w:t>“</w:t>
      </w:r>
      <w:r>
        <w:rPr>
          <w:rFonts w:hint="default" w:ascii="Times New Roman" w:hAnsi="Times New Roman" w:eastAsia="仿宋_GB2312" w:cs="仿宋_GB2312"/>
          <w:b w:val="0"/>
          <w:bCs w:val="0"/>
          <w:kern w:val="2"/>
          <w:sz w:val="32"/>
          <w:szCs w:val="32"/>
          <w:highlight w:val="none"/>
          <w:lang w:val="en-US" w:eastAsia="zh-CN" w:bidi="ar-SA"/>
        </w:rPr>
        <w:t>一住两公</w:t>
      </w:r>
      <w:r>
        <w:rPr>
          <w:rFonts w:hint="eastAsia" w:ascii="Times New Roman" w:hAnsi="Times New Roman" w:eastAsia="仿宋_GB2312" w:cs="仿宋_GB2312"/>
          <w:b w:val="0"/>
          <w:bCs w:val="0"/>
          <w:kern w:val="2"/>
          <w:sz w:val="32"/>
          <w:szCs w:val="32"/>
          <w:highlight w:val="none"/>
          <w:lang w:val="en-US" w:eastAsia="zh-CN" w:bidi="ar-SA"/>
        </w:rPr>
        <w:t>”</w:t>
      </w:r>
      <w:r>
        <w:rPr>
          <w:rFonts w:hint="default" w:ascii="Times New Roman" w:hAnsi="Times New Roman" w:eastAsia="仿宋_GB2312" w:cs="仿宋_GB2312"/>
          <w:b w:val="0"/>
          <w:bCs w:val="0"/>
          <w:kern w:val="2"/>
          <w:sz w:val="32"/>
          <w:szCs w:val="32"/>
          <w:highlight w:val="none"/>
          <w:lang w:val="en-US" w:eastAsia="zh-CN" w:bidi="ar-SA"/>
        </w:rPr>
        <w:t>用地依法落实土壤污染状况调查</w:t>
      </w:r>
      <w:r>
        <w:rPr>
          <w:rFonts w:hint="eastAsia" w:ascii="Times New Roman" w:hAnsi="Times New Roman" w:eastAsia="仿宋_GB2312" w:cs="宋体"/>
          <w:b w:val="0"/>
          <w:bCs w:val="0"/>
          <w:kern w:val="0"/>
          <w:sz w:val="32"/>
          <w:szCs w:val="27"/>
          <w:highlight w:val="none"/>
          <w:lang w:val="en-US" w:eastAsia="zh-CN"/>
        </w:rPr>
        <w:t>，</w:t>
      </w:r>
      <w:r>
        <w:rPr>
          <w:rFonts w:hint="default" w:ascii="Times New Roman" w:hAnsi="Times New Roman" w:eastAsia="仿宋_GB2312" w:cs="仿宋_GB2312"/>
          <w:b w:val="0"/>
          <w:bCs w:val="0"/>
          <w:kern w:val="2"/>
          <w:sz w:val="32"/>
          <w:szCs w:val="32"/>
          <w:highlight w:val="none"/>
          <w:lang w:val="en-US" w:eastAsia="zh-CN" w:bidi="ar-SA"/>
        </w:rPr>
        <w:t>确保重点建设用地安全利用率稳定达到100%。</w:t>
      </w:r>
      <w:r>
        <w:rPr>
          <w:rFonts w:hint="default" w:ascii="Times New Roman" w:hAnsi="Times New Roman" w:eastAsia="仿宋_GB2312" w:cs="仿宋_GB2312"/>
          <w:b/>
          <w:bCs/>
          <w:kern w:val="2"/>
          <w:sz w:val="32"/>
          <w:szCs w:val="32"/>
          <w:highlight w:val="none"/>
          <w:lang w:val="en-US" w:eastAsia="zh-CN" w:bidi="ar-SA"/>
        </w:rPr>
        <w:t>统筹推进土壤与地下水协同防治</w:t>
      </w:r>
      <w:r>
        <w:rPr>
          <w:rFonts w:hint="eastAsia" w:ascii="Times New Roman" w:hAnsi="Times New Roman" w:eastAsia="仿宋_GB2312" w:cs="仿宋_GB2312"/>
          <w:b/>
          <w:bCs/>
          <w:kern w:val="2"/>
          <w:sz w:val="32"/>
          <w:szCs w:val="32"/>
          <w:highlight w:val="none"/>
          <w:lang w:val="en-US" w:eastAsia="zh-CN" w:bidi="ar-SA"/>
        </w:rPr>
        <w:t>，</w:t>
      </w:r>
      <w:r>
        <w:rPr>
          <w:rFonts w:hint="eastAsia" w:ascii="Times New Roman" w:hAnsi="Times New Roman" w:eastAsia="仿宋_GB2312" w:cs="仿宋_GB2312"/>
          <w:b w:val="0"/>
          <w:bCs w:val="0"/>
          <w:kern w:val="2"/>
          <w:sz w:val="32"/>
          <w:szCs w:val="32"/>
          <w:highlight w:val="none"/>
          <w:lang w:val="en-US" w:eastAsia="zh-CN" w:bidi="ar-SA"/>
        </w:rPr>
        <w:t>实施</w:t>
      </w:r>
      <w:r>
        <w:rPr>
          <w:rFonts w:hint="eastAsia" w:ascii="Times New Roman" w:hAnsi="Times New Roman" w:eastAsia="仿宋_GB2312" w:cs="宋体"/>
          <w:b w:val="0"/>
          <w:bCs w:val="0"/>
          <w:kern w:val="0"/>
          <w:sz w:val="32"/>
          <w:szCs w:val="27"/>
          <w:highlight w:val="none"/>
          <w:lang w:val="en-US" w:eastAsia="zh-CN"/>
        </w:rPr>
        <w:t>地下水环境分区管理、分级防治。</w:t>
      </w:r>
      <w:r>
        <w:rPr>
          <w:rFonts w:hint="eastAsia" w:ascii="楷体_GB2312" w:hAnsi="楷体_GB2312" w:eastAsia="楷体_GB2312" w:cs="楷体_GB2312"/>
          <w:b w:val="0"/>
          <w:bCs w:val="0"/>
          <w:kern w:val="2"/>
          <w:sz w:val="32"/>
          <w:szCs w:val="32"/>
          <w:highlight w:val="none"/>
          <w:lang w:val="en-US" w:eastAsia="zh-CN" w:bidi="ar-SA"/>
        </w:rPr>
        <w:t>（责任单位：市生态环境局、市自然资源和城乡建设局）</w:t>
      </w:r>
    </w:p>
    <w:p w14:paraId="07114F25">
      <w:pPr>
        <w:keepNext w:val="0"/>
        <w:keepLines w:val="0"/>
        <w:pageBreakBefore w:val="0"/>
        <w:widowControl/>
        <w:numPr>
          <w:ilvl w:val="0"/>
          <w:numId w:val="2"/>
        </w:numPr>
        <w:suppressLineNumbers w:val="0"/>
        <w:kinsoku/>
        <w:wordWrap/>
        <w:overflowPunct/>
        <w:topLinePunct w:val="0"/>
        <w:autoSpaceDE/>
        <w:autoSpaceDN/>
        <w:bidi w:val="0"/>
        <w:adjustRightInd/>
        <w:snapToGrid/>
        <w:spacing w:before="0" w:beforeAutospacing="0" w:after="0" w:afterAutospacing="0" w:line="560" w:lineRule="exact"/>
        <w:ind w:left="0" w:leftChars="0" w:firstLine="643" w:firstLineChars="200"/>
        <w:jc w:val="both"/>
        <w:textAlignment w:val="auto"/>
        <w:outlineLvl w:val="2"/>
        <w:rPr>
          <w:rFonts w:hint="default" w:ascii="Times New Roman" w:hAnsi="Times New Roman" w:eastAsia="仿宋_GB2312" w:cs="仿宋_GB2312"/>
          <w:b w:val="0"/>
          <w:bCs w:val="0"/>
          <w:kern w:val="2"/>
          <w:sz w:val="32"/>
          <w:szCs w:val="32"/>
          <w:highlight w:val="none"/>
          <w:lang w:val="en-US" w:eastAsia="zh-CN" w:bidi="ar-SA"/>
        </w:rPr>
      </w:pPr>
      <w:r>
        <w:rPr>
          <w:rFonts w:hint="eastAsia" w:ascii="Times New Roman" w:hAnsi="Times New Roman" w:eastAsia="仿宋_GB2312" w:cs="仿宋_GB2312"/>
          <w:b/>
          <w:bCs/>
          <w:kern w:val="2"/>
          <w:sz w:val="32"/>
          <w:szCs w:val="32"/>
          <w:highlight w:val="none"/>
          <w:lang w:val="en-US" w:eastAsia="zh-CN" w:bidi="ar-SA"/>
        </w:rPr>
        <w:t>推进固体废物综合治理。</w:t>
      </w:r>
      <w:r>
        <w:rPr>
          <w:rFonts w:hint="eastAsia" w:ascii="Times New Roman" w:hAnsi="Times New Roman" w:eastAsia="仿宋_GB2312" w:cs="仿宋_GB2312"/>
          <w:b/>
          <w:bCs/>
          <w:kern w:val="0"/>
          <w:sz w:val="32"/>
          <w:szCs w:val="32"/>
          <w:highlight w:val="none"/>
          <w:lang w:val="en-US" w:eastAsia="zh-CN"/>
        </w:rPr>
        <w:t>实施</w:t>
      </w:r>
      <w:r>
        <w:rPr>
          <w:rFonts w:hint="eastAsia" w:ascii="Times New Roman" w:hAnsi="Times New Roman" w:eastAsia="仿宋_GB2312" w:cs="仿宋_GB2312"/>
          <w:b/>
          <w:bCs/>
          <w:kern w:val="2"/>
          <w:sz w:val="32"/>
          <w:szCs w:val="32"/>
          <w:highlight w:val="none"/>
          <w:lang w:val="en-US" w:eastAsia="zh-CN" w:bidi="ar-SA"/>
        </w:rPr>
        <w:t>固体废物综合治理行动，</w:t>
      </w:r>
      <w:r>
        <w:rPr>
          <w:rFonts w:hint="eastAsia" w:ascii="Times New Roman" w:hAnsi="Times New Roman" w:eastAsia="仿宋_GB2312" w:cs="仿宋_GB2312"/>
          <w:b w:val="0"/>
          <w:bCs w:val="0"/>
          <w:kern w:val="2"/>
          <w:sz w:val="32"/>
          <w:szCs w:val="32"/>
          <w:highlight w:val="none"/>
          <w:lang w:val="en-US" w:eastAsia="zh-CN" w:bidi="ar-SA"/>
        </w:rPr>
        <w:t>开展非法倾倒处置固体废物、建筑垃圾堆存场所等重点领域专项整治。开展工业资源综合利用先进适用工艺技术设备</w:t>
      </w:r>
      <w:r>
        <w:rPr>
          <w:rFonts w:hint="eastAsia" w:ascii="Times New Roman" w:hAnsi="Times New Roman" w:eastAsia="仿宋_GB2312" w:cs="仿宋_GB2312"/>
          <w:b w:val="0"/>
          <w:bCs w:val="0"/>
          <w:color w:val="auto"/>
          <w:kern w:val="2"/>
          <w:sz w:val="32"/>
          <w:szCs w:val="32"/>
          <w:highlight w:val="none"/>
          <w:lang w:val="en-US" w:eastAsia="zh-CN" w:bidi="ar-SA"/>
        </w:rPr>
        <w:t>遴选工作</w:t>
      </w:r>
      <w:r>
        <w:rPr>
          <w:rFonts w:hint="eastAsia" w:ascii="Times New Roman" w:hAnsi="Times New Roman" w:eastAsia="仿宋_GB2312" w:cs="仿宋_GB2312"/>
          <w:b w:val="0"/>
          <w:bCs w:val="0"/>
          <w:kern w:val="2"/>
          <w:sz w:val="32"/>
          <w:szCs w:val="32"/>
          <w:highlight w:val="none"/>
          <w:lang w:val="en-US" w:eastAsia="zh-CN" w:bidi="ar-SA"/>
        </w:rPr>
        <w:t>，</w:t>
      </w:r>
      <w:r>
        <w:rPr>
          <w:rFonts w:hint="eastAsia" w:ascii="Times New Roman" w:hAnsi="Times New Roman" w:eastAsia="仿宋_GB2312" w:cs="仿宋_GB2312"/>
          <w:b w:val="0"/>
          <w:bCs w:val="0"/>
          <w:kern w:val="0"/>
          <w:sz w:val="32"/>
          <w:szCs w:val="32"/>
          <w:highlight w:val="none"/>
          <w:lang w:val="en-US" w:eastAsia="zh-CN"/>
        </w:rPr>
        <w:t>拓宽</w:t>
      </w:r>
      <w:r>
        <w:rPr>
          <w:rFonts w:hint="default" w:ascii="Times New Roman" w:hAnsi="Times New Roman" w:eastAsia="仿宋_GB2312" w:cs="Times New Roman"/>
          <w:b w:val="0"/>
          <w:bCs w:val="0"/>
          <w:snapToGrid w:val="0"/>
          <w:color w:val="000000"/>
          <w:kern w:val="0"/>
          <w:sz w:val="32"/>
          <w:szCs w:val="32"/>
          <w:highlight w:val="none"/>
          <w:shd w:val="clear" w:color="auto" w:fill="FFFFFF"/>
          <w:lang w:val="en-US" w:eastAsia="zh-CN"/>
        </w:rPr>
        <w:t>工业固废</w:t>
      </w:r>
      <w:r>
        <w:rPr>
          <w:rFonts w:hint="eastAsia" w:ascii="Times New Roman" w:hAnsi="Times New Roman" w:eastAsia="仿宋_GB2312" w:cs="仿宋_GB2312"/>
          <w:b w:val="0"/>
          <w:bCs w:val="0"/>
          <w:kern w:val="2"/>
          <w:sz w:val="32"/>
          <w:szCs w:val="32"/>
          <w:highlight w:val="none"/>
          <w:lang w:val="en-US" w:eastAsia="zh-CN" w:bidi="ar-SA"/>
        </w:rPr>
        <w:t>在建材、基建等领域规模化、高值化利用场景，推动</w:t>
      </w:r>
      <w:r>
        <w:rPr>
          <w:rFonts w:hint="default" w:ascii="Times New Roman" w:hAnsi="Times New Roman" w:eastAsia="仿宋_GB2312" w:cs="Times New Roman"/>
          <w:b w:val="0"/>
          <w:bCs w:val="0"/>
          <w:snapToGrid w:val="0"/>
          <w:color w:val="000000"/>
          <w:kern w:val="0"/>
          <w:sz w:val="32"/>
          <w:szCs w:val="32"/>
          <w:highlight w:val="none"/>
          <w:shd w:val="clear" w:color="auto" w:fill="FFFFFF"/>
          <w:lang w:val="en-US" w:eastAsia="zh-CN"/>
        </w:rPr>
        <w:t>长乐山循环经济产业园</w:t>
      </w:r>
      <w:r>
        <w:rPr>
          <w:rFonts w:hint="eastAsia" w:ascii="Times New Roman" w:hAnsi="Times New Roman" w:eastAsia="仿宋_GB2312" w:cs="Times New Roman"/>
          <w:b w:val="0"/>
          <w:bCs w:val="0"/>
          <w:snapToGrid w:val="0"/>
          <w:color w:val="000000"/>
          <w:kern w:val="0"/>
          <w:sz w:val="32"/>
          <w:szCs w:val="32"/>
          <w:highlight w:val="none"/>
          <w:shd w:val="clear" w:color="auto" w:fill="FFFFFF"/>
          <w:lang w:val="en-US" w:eastAsia="zh-CN"/>
        </w:rPr>
        <w:t>建设</w:t>
      </w:r>
      <w:r>
        <w:rPr>
          <w:rFonts w:hint="default" w:ascii="Times New Roman" w:hAnsi="Times New Roman" w:eastAsia="仿宋_GB2312" w:cs="Times New Roman"/>
          <w:b w:val="0"/>
          <w:bCs w:val="0"/>
          <w:snapToGrid w:val="0"/>
          <w:color w:val="000000"/>
          <w:kern w:val="0"/>
          <w:sz w:val="32"/>
          <w:szCs w:val="32"/>
          <w:highlight w:val="none"/>
          <w:shd w:val="clear" w:color="auto" w:fill="FFFFFF"/>
          <w:lang w:val="en-US" w:eastAsia="zh-CN"/>
        </w:rPr>
        <w:t>全国大宗固体废弃物综合利用示范基地</w:t>
      </w:r>
      <w:r>
        <w:rPr>
          <w:rFonts w:hint="eastAsia" w:ascii="Times New Roman" w:hAnsi="Times New Roman" w:eastAsia="仿宋_GB2312" w:cs="仿宋_GB2312"/>
          <w:b w:val="0"/>
          <w:bCs w:val="0"/>
          <w:kern w:val="2"/>
          <w:sz w:val="32"/>
          <w:szCs w:val="32"/>
          <w:highlight w:val="none"/>
          <w:lang w:val="en-US" w:eastAsia="zh-CN" w:bidi="ar-SA"/>
        </w:rPr>
        <w:t>。</w:t>
      </w:r>
      <w:r>
        <w:rPr>
          <w:rFonts w:hint="eastAsia" w:ascii="Times New Roman" w:hAnsi="Times New Roman" w:eastAsia="仿宋_GB2312" w:cs="仿宋_GB2312"/>
          <w:b/>
          <w:bCs/>
          <w:kern w:val="2"/>
          <w:sz w:val="32"/>
          <w:szCs w:val="32"/>
          <w:highlight w:val="none"/>
          <w:lang w:val="en-US" w:eastAsia="zh-CN" w:bidi="ar-SA"/>
        </w:rPr>
        <w:t>开展</w:t>
      </w:r>
      <w:r>
        <w:rPr>
          <w:rFonts w:hint="eastAsia" w:ascii="Times New Roman" w:hAnsi="Times New Roman" w:eastAsia="仿宋_GB2312" w:cs="仿宋_GB2312"/>
          <w:b/>
          <w:bCs/>
          <w:kern w:val="0"/>
          <w:sz w:val="32"/>
          <w:szCs w:val="32"/>
          <w:highlight w:val="none"/>
          <w:lang w:val="en-US" w:eastAsia="zh-CN"/>
        </w:rPr>
        <w:t>“城市矿产”回收体系升级行动，</w:t>
      </w:r>
      <w:r>
        <w:rPr>
          <w:rFonts w:hint="eastAsia" w:ascii="Times New Roman" w:hAnsi="Times New Roman" w:eastAsia="仿宋_GB2312" w:cs="仿宋_GB2312"/>
          <w:b w:val="0"/>
          <w:bCs w:val="0"/>
          <w:kern w:val="0"/>
          <w:sz w:val="32"/>
          <w:szCs w:val="32"/>
          <w:highlight w:val="none"/>
          <w:lang w:val="en-US" w:eastAsia="zh-CN"/>
        </w:rPr>
        <w:t>引入“互联网+”回收模式，加大废旧机电设备、电线电缆、通信工具、废弃电器电子产品、废铅蓄电池等再生资源回收力度，加快再生资源回收和生活垃圾分类“两网融合”。</w:t>
      </w:r>
      <w:r>
        <w:rPr>
          <w:rFonts w:hint="eastAsia" w:ascii="Times New Roman" w:hAnsi="Times New Roman" w:eastAsia="仿宋_GB2312" w:cs="仿宋_GB2312"/>
          <w:b/>
          <w:bCs/>
          <w:kern w:val="0"/>
          <w:sz w:val="32"/>
          <w:szCs w:val="32"/>
          <w:highlight w:val="none"/>
          <w:lang w:val="en-US" w:eastAsia="zh-CN"/>
        </w:rPr>
        <w:t>加强生活垃圾与建筑垃圾治理，</w:t>
      </w:r>
      <w:r>
        <w:rPr>
          <w:rFonts w:hint="eastAsia" w:ascii="Times New Roman" w:hAnsi="Times New Roman" w:eastAsia="仿宋_GB2312" w:cs="仿宋_GB2312"/>
          <w:b w:val="0"/>
          <w:bCs w:val="0"/>
          <w:kern w:val="0"/>
          <w:sz w:val="32"/>
          <w:szCs w:val="32"/>
          <w:highlight w:val="none"/>
          <w:lang w:val="en-US" w:eastAsia="zh-CN"/>
        </w:rPr>
        <w:t>推进小区生活垃圾分类全覆盖，实现城市及周边生活垃圾非正规垃圾堆放点清理，推进厨余垃圾无害化处置与资源化利用。加强建筑垃圾精细化分类及分质利用，加大塑料制品全链条治理。</w:t>
      </w:r>
      <w:r>
        <w:rPr>
          <w:rFonts w:hint="eastAsia" w:ascii="Times New Roman" w:hAnsi="Times New Roman" w:eastAsia="仿宋_GB2312" w:cs="仿宋_GB2312"/>
          <w:b w:val="0"/>
          <w:bCs w:val="0"/>
          <w:kern w:val="2"/>
          <w:sz w:val="32"/>
          <w:szCs w:val="32"/>
          <w:highlight w:val="none"/>
          <w:lang w:val="en-US" w:eastAsia="zh-CN" w:bidi="ar-SA"/>
        </w:rPr>
        <w:t>到2027年，</w:t>
      </w:r>
      <w:r>
        <w:rPr>
          <w:rFonts w:hint="eastAsia" w:ascii="Times New Roman" w:hAnsi="Times New Roman" w:eastAsia="仿宋_GB2312" w:cs="仿宋_GB2312"/>
          <w:b w:val="0"/>
          <w:bCs w:val="0"/>
          <w:kern w:val="0"/>
          <w:sz w:val="32"/>
          <w:szCs w:val="32"/>
          <w:highlight w:val="none"/>
          <w:lang w:val="en-US" w:eastAsia="zh-CN"/>
        </w:rPr>
        <w:t>城区生活垃圾资源化利用率达到85%，一般工业固废综合利用率达到85%以上。</w:t>
      </w:r>
      <w:r>
        <w:rPr>
          <w:rFonts w:hint="eastAsia" w:ascii="楷体_GB2312" w:hAnsi="楷体_GB2312" w:eastAsia="楷体_GB2312" w:cs="楷体_GB2312"/>
          <w:b w:val="0"/>
          <w:bCs w:val="0"/>
          <w:kern w:val="2"/>
          <w:sz w:val="32"/>
          <w:szCs w:val="32"/>
          <w:highlight w:val="none"/>
          <w:lang w:val="en-US" w:eastAsia="zh-CN" w:bidi="ar-SA"/>
        </w:rPr>
        <w:t>（责任单位：市生态环境局、市发改委、市经信局、市商务局、市城管委）</w:t>
      </w:r>
    </w:p>
    <w:p w14:paraId="3AEA624B">
      <w:pPr>
        <w:keepNext w:val="0"/>
        <w:keepLines w:val="0"/>
        <w:pageBreakBefore w:val="0"/>
        <w:widowControl/>
        <w:numPr>
          <w:ilvl w:val="0"/>
          <w:numId w:val="2"/>
        </w:numPr>
        <w:suppressLineNumbers w:val="0"/>
        <w:kinsoku/>
        <w:wordWrap/>
        <w:overflowPunct/>
        <w:topLinePunct w:val="0"/>
        <w:autoSpaceDE/>
        <w:autoSpaceDN/>
        <w:bidi w:val="0"/>
        <w:adjustRightInd/>
        <w:snapToGrid/>
        <w:spacing w:before="0" w:beforeAutospacing="0" w:after="0" w:afterAutospacing="0" w:line="560" w:lineRule="exact"/>
        <w:ind w:left="0" w:leftChars="0" w:firstLine="643" w:firstLineChars="200"/>
        <w:jc w:val="both"/>
        <w:textAlignment w:val="auto"/>
        <w:outlineLvl w:val="2"/>
        <w:rPr>
          <w:rFonts w:hint="eastAsia" w:ascii="楷体_GB2312" w:hAnsi="楷体_GB2312" w:eastAsia="楷体_GB2312" w:cs="楷体_GB2312"/>
          <w:b w:val="0"/>
          <w:bCs w:val="0"/>
          <w:kern w:val="2"/>
          <w:sz w:val="32"/>
          <w:szCs w:val="32"/>
          <w:highlight w:val="none"/>
          <w:lang w:val="en-US" w:eastAsia="zh-CN" w:bidi="ar-SA"/>
        </w:rPr>
      </w:pPr>
      <w:r>
        <w:rPr>
          <w:rFonts w:hint="eastAsia" w:ascii="Times New Roman" w:hAnsi="Times New Roman" w:eastAsia="仿宋_GB2312" w:cs="仿宋_GB2312"/>
          <w:b/>
          <w:bCs/>
          <w:kern w:val="2"/>
          <w:sz w:val="32"/>
          <w:szCs w:val="32"/>
          <w:highlight w:val="none"/>
          <w:lang w:val="en-US" w:eastAsia="zh-CN" w:bidi="ar-SA"/>
        </w:rPr>
        <w:t>加快建设宁静城市。加强噪声污染源头防控，</w:t>
      </w:r>
      <w:r>
        <w:rPr>
          <w:rFonts w:hint="eastAsia" w:ascii="Times New Roman" w:hAnsi="Times New Roman" w:eastAsia="仿宋_GB2312" w:cs="仿宋_GB2312"/>
          <w:b w:val="0"/>
          <w:bCs w:val="0"/>
          <w:kern w:val="2"/>
          <w:sz w:val="32"/>
          <w:szCs w:val="32"/>
          <w:highlight w:val="none"/>
          <w:lang w:val="en-US" w:eastAsia="zh-CN" w:bidi="ar-SA"/>
        </w:rPr>
        <w:t>科学规划布局住宅、学校等噪声敏感建筑物，加强噪声在线监测、声源识别等新技术运用，探索开展噪声地图应用。</w:t>
      </w:r>
      <w:r>
        <w:rPr>
          <w:rFonts w:hint="eastAsia" w:ascii="Times New Roman" w:hAnsi="Times New Roman" w:eastAsia="仿宋_GB2312" w:cs="仿宋_GB2312"/>
          <w:b/>
          <w:bCs/>
          <w:kern w:val="2"/>
          <w:sz w:val="32"/>
          <w:szCs w:val="32"/>
          <w:highlight w:val="none"/>
          <w:lang w:val="en-US" w:eastAsia="zh-CN" w:bidi="ar-SA"/>
        </w:rPr>
        <w:t>加强重点领域噪声污染治理，</w:t>
      </w:r>
      <w:r>
        <w:rPr>
          <w:rFonts w:hint="eastAsia" w:ascii="Times New Roman" w:hAnsi="Times New Roman" w:eastAsia="仿宋_GB2312" w:cs="仿宋_GB2312"/>
          <w:b w:val="0"/>
          <w:bCs w:val="0"/>
          <w:kern w:val="2"/>
          <w:sz w:val="32"/>
          <w:szCs w:val="32"/>
          <w:highlight w:val="none"/>
          <w:lang w:val="en-US" w:eastAsia="zh-CN" w:bidi="ar-SA"/>
        </w:rPr>
        <w:t>强化工业噪声排污许可监管。开展道路交通等噪声污染治理，推广应用低噪声沥青路面。开展公共场所噪声扰民投诉专项治理。</w:t>
      </w:r>
      <w:r>
        <w:rPr>
          <w:rFonts w:hint="eastAsia" w:ascii="Times New Roman" w:hAnsi="Times New Roman" w:eastAsia="仿宋_GB2312" w:cs="仿宋_GB2312"/>
          <w:b/>
          <w:bCs/>
          <w:kern w:val="2"/>
          <w:sz w:val="32"/>
          <w:szCs w:val="32"/>
          <w:highlight w:val="none"/>
          <w:lang w:val="en-US" w:eastAsia="zh-CN" w:bidi="ar-SA"/>
        </w:rPr>
        <w:t>持续实施“宁静小区”试点，</w:t>
      </w:r>
      <w:r>
        <w:rPr>
          <w:rFonts w:hint="eastAsia" w:ascii="Times New Roman" w:hAnsi="Times New Roman" w:eastAsia="仿宋_GB2312" w:cs="仿宋_GB2312"/>
          <w:b w:val="0"/>
          <w:bCs w:val="0"/>
          <w:kern w:val="2"/>
          <w:sz w:val="32"/>
          <w:szCs w:val="32"/>
          <w:highlight w:val="none"/>
          <w:lang w:val="en-US" w:eastAsia="zh-CN" w:bidi="ar-SA"/>
        </w:rPr>
        <w:t>推进学校</w:t>
      </w:r>
      <w:r>
        <w:rPr>
          <w:rFonts w:hint="eastAsia" w:eastAsia="仿宋_GB2312" w:cs="仿宋_GB2312"/>
          <w:b w:val="0"/>
          <w:bCs w:val="0"/>
          <w:kern w:val="2"/>
          <w:sz w:val="32"/>
          <w:szCs w:val="32"/>
          <w:highlight w:val="none"/>
          <w:lang w:val="en-US" w:eastAsia="zh-CN" w:bidi="ar-SA"/>
        </w:rPr>
        <w:t>、</w:t>
      </w:r>
      <w:r>
        <w:rPr>
          <w:rFonts w:hint="eastAsia" w:ascii="Times New Roman" w:hAnsi="Times New Roman" w:eastAsia="仿宋_GB2312" w:cs="仿宋_GB2312"/>
          <w:b w:val="0"/>
          <w:bCs w:val="0"/>
          <w:kern w:val="2"/>
          <w:sz w:val="32"/>
          <w:szCs w:val="32"/>
          <w:highlight w:val="none"/>
          <w:lang w:val="en-US" w:eastAsia="zh-CN" w:bidi="ar-SA"/>
        </w:rPr>
        <w:t>‌商业区</w:t>
      </w:r>
      <w:r>
        <w:rPr>
          <w:rFonts w:hint="eastAsia" w:eastAsia="仿宋_GB2312" w:cs="仿宋_GB2312"/>
          <w:b w:val="0"/>
          <w:bCs w:val="0"/>
          <w:kern w:val="2"/>
          <w:sz w:val="32"/>
          <w:szCs w:val="32"/>
          <w:highlight w:val="none"/>
          <w:lang w:val="en-US" w:eastAsia="zh-CN" w:bidi="ar-SA"/>
        </w:rPr>
        <w:t>、</w:t>
      </w:r>
      <w:r>
        <w:rPr>
          <w:rFonts w:hint="eastAsia" w:ascii="Times New Roman" w:hAnsi="Times New Roman" w:eastAsia="仿宋_GB2312" w:cs="仿宋_GB2312"/>
          <w:b w:val="0"/>
          <w:bCs w:val="0"/>
          <w:kern w:val="2"/>
          <w:sz w:val="32"/>
          <w:szCs w:val="32"/>
          <w:highlight w:val="none"/>
          <w:lang w:val="en-US" w:eastAsia="zh-CN" w:bidi="ar-SA"/>
        </w:rPr>
        <w:t>餐饮集中区等“宁静单元”建设。到2027年，累计建成20个宁静小区。</w:t>
      </w:r>
      <w:r>
        <w:rPr>
          <w:rFonts w:hint="eastAsia" w:ascii="楷体_GB2312" w:hAnsi="楷体_GB2312" w:eastAsia="楷体_GB2312" w:cs="楷体_GB2312"/>
          <w:b w:val="0"/>
          <w:bCs w:val="0"/>
          <w:kern w:val="2"/>
          <w:sz w:val="32"/>
          <w:szCs w:val="32"/>
          <w:highlight w:val="none"/>
          <w:lang w:val="en-US" w:eastAsia="zh-CN" w:bidi="ar-SA"/>
        </w:rPr>
        <w:t>（责任单位：市生态环境局、市自然资源和城乡建设局、市城管委、市交通运输局）</w:t>
      </w:r>
    </w:p>
    <w:p w14:paraId="6F8DED91">
      <w:pPr>
        <w:keepNext w:val="0"/>
        <w:keepLines w:val="0"/>
        <w:pageBreakBefore w:val="0"/>
        <w:numPr>
          <w:ilvl w:val="0"/>
          <w:numId w:val="1"/>
        </w:numPr>
        <w:kinsoku/>
        <w:wordWrap/>
        <w:overflowPunct/>
        <w:topLinePunct w:val="0"/>
        <w:autoSpaceDE/>
        <w:autoSpaceDN/>
        <w:bidi w:val="0"/>
        <w:adjustRightInd/>
        <w:snapToGrid/>
        <w:spacing w:beforeAutospacing="0" w:afterAutospacing="0" w:line="560" w:lineRule="exact"/>
        <w:ind w:left="0" w:leftChars="0" w:firstLine="640" w:firstLineChars="200"/>
        <w:jc w:val="both"/>
        <w:textAlignment w:val="auto"/>
        <w:outlineLvl w:val="1"/>
        <w:rPr>
          <w:rFonts w:hint="eastAsia" w:ascii="Times New Roman" w:hAnsi="Times New Roman" w:eastAsia="楷体_GB2312" w:cs="楷体_GB2312"/>
          <w:b w:val="0"/>
          <w:bCs w:val="0"/>
          <w:sz w:val="32"/>
          <w:szCs w:val="32"/>
          <w:highlight w:val="none"/>
          <w:lang w:val="en-US" w:eastAsia="zh-CN"/>
        </w:rPr>
      </w:pPr>
      <w:r>
        <w:rPr>
          <w:rFonts w:hint="eastAsia" w:ascii="Times New Roman" w:hAnsi="Times New Roman" w:eastAsia="楷体_GB2312" w:cs="楷体_GB2312"/>
          <w:b w:val="0"/>
          <w:bCs w:val="0"/>
          <w:sz w:val="32"/>
          <w:szCs w:val="32"/>
          <w:highlight w:val="none"/>
          <w:lang w:val="en-US" w:eastAsia="zh-CN"/>
        </w:rPr>
        <w:t>实施生态品质焕新行动，打造山水宜居标杆城市。</w:t>
      </w:r>
    </w:p>
    <w:p w14:paraId="44BE10D9">
      <w:pPr>
        <w:keepNext w:val="0"/>
        <w:keepLines w:val="0"/>
        <w:pageBreakBefore w:val="0"/>
        <w:widowControl/>
        <w:numPr>
          <w:ilvl w:val="0"/>
          <w:numId w:val="2"/>
        </w:numPr>
        <w:suppressLineNumbers w:val="0"/>
        <w:kinsoku/>
        <w:wordWrap/>
        <w:overflowPunct/>
        <w:topLinePunct w:val="0"/>
        <w:autoSpaceDE/>
        <w:autoSpaceDN/>
        <w:bidi w:val="0"/>
        <w:adjustRightInd/>
        <w:snapToGrid/>
        <w:spacing w:before="0" w:beforeAutospacing="0" w:after="0" w:afterAutospacing="0" w:line="560" w:lineRule="exact"/>
        <w:ind w:left="0" w:leftChars="0" w:firstLine="643" w:firstLineChars="200"/>
        <w:jc w:val="both"/>
        <w:textAlignment w:val="auto"/>
        <w:outlineLvl w:val="2"/>
        <w:rPr>
          <w:rFonts w:hint="eastAsia" w:ascii="Times New Roman" w:hAnsi="Times New Roman" w:eastAsia="仿宋_GB2312" w:cs="仿宋_GB2312"/>
          <w:b w:val="0"/>
          <w:bCs w:val="0"/>
          <w:kern w:val="2"/>
          <w:sz w:val="32"/>
          <w:szCs w:val="32"/>
          <w:highlight w:val="none"/>
          <w:lang w:val="en-US" w:eastAsia="zh-CN" w:bidi="ar-SA"/>
        </w:rPr>
      </w:pPr>
      <w:r>
        <w:rPr>
          <w:rFonts w:hint="eastAsia" w:ascii="Times New Roman" w:hAnsi="Times New Roman" w:eastAsia="仿宋_GB2312" w:cs="仿宋_GB2312"/>
          <w:b/>
          <w:bCs/>
          <w:kern w:val="2"/>
          <w:sz w:val="32"/>
          <w:szCs w:val="32"/>
          <w:highlight w:val="none"/>
          <w:lang w:val="en-US" w:eastAsia="zh-CN" w:bidi="ar-SA"/>
        </w:rPr>
        <w:t>守护城市生态本底。筑牢城市生态屏障，</w:t>
      </w:r>
      <w:r>
        <w:rPr>
          <w:rFonts w:hint="eastAsia" w:ascii="Times New Roman" w:hAnsi="Times New Roman" w:eastAsia="仿宋_GB2312" w:cs="仿宋_GB2312"/>
          <w:b w:val="0"/>
          <w:bCs w:val="0"/>
          <w:kern w:val="2"/>
          <w:sz w:val="32"/>
          <w:szCs w:val="32"/>
          <w:highlight w:val="none"/>
          <w:lang w:val="en-US" w:eastAsia="zh-CN" w:bidi="ar-SA"/>
        </w:rPr>
        <w:t>开展东方山、长乐山</w:t>
      </w:r>
      <w:r>
        <w:rPr>
          <w:rFonts w:hint="eastAsia" w:ascii="Times New Roman" w:hAnsi="Times New Roman" w:eastAsia="仿宋_GB2312" w:cs="Times New Roman"/>
          <w:b w:val="0"/>
          <w:bCs w:val="0"/>
          <w:snapToGrid w:val="0"/>
          <w:color w:val="000000"/>
          <w:kern w:val="0"/>
          <w:sz w:val="32"/>
          <w:szCs w:val="32"/>
          <w:highlight w:val="none"/>
          <w:shd w:val="clear" w:color="auto" w:fill="FFFFFF"/>
          <w:lang w:val="en-US" w:eastAsia="zh-CN"/>
        </w:rPr>
        <w:t>、</w:t>
      </w:r>
      <w:r>
        <w:rPr>
          <w:rFonts w:hint="eastAsia" w:ascii="Times New Roman" w:hAnsi="Times New Roman" w:eastAsia="仿宋_GB2312" w:cs="仿宋_GB2312"/>
          <w:b w:val="0"/>
          <w:bCs w:val="0"/>
          <w:kern w:val="2"/>
          <w:sz w:val="32"/>
          <w:szCs w:val="32"/>
          <w:highlight w:val="none"/>
          <w:lang w:val="en-US" w:eastAsia="zh-CN" w:bidi="ar-SA"/>
        </w:rPr>
        <w:t>黄荆山等重要山体森林资源保护，推进网湖重要湿地保护与修复，塑造“半城山色半城湖”城市生态格局。</w:t>
      </w:r>
      <w:r>
        <w:rPr>
          <w:rFonts w:hint="eastAsia" w:ascii="Times New Roman" w:hAnsi="Times New Roman" w:eastAsia="仿宋_GB2312" w:cs="仿宋_GB2312"/>
          <w:b/>
          <w:bCs/>
          <w:kern w:val="2"/>
          <w:sz w:val="32"/>
          <w:szCs w:val="32"/>
          <w:highlight w:val="none"/>
          <w:lang w:val="en-US" w:eastAsia="zh-CN" w:bidi="ar-SA"/>
        </w:rPr>
        <w:t>加强城市生物多样性保护，</w:t>
      </w:r>
      <w:r>
        <w:rPr>
          <w:rFonts w:hint="eastAsia" w:ascii="Times New Roman" w:hAnsi="Times New Roman" w:eastAsia="仿宋_GB2312" w:cs="仿宋_GB2312"/>
          <w:b w:val="0"/>
          <w:bCs w:val="0"/>
          <w:kern w:val="2"/>
          <w:sz w:val="32"/>
          <w:szCs w:val="32"/>
          <w:highlight w:val="none"/>
          <w:lang w:val="en-US" w:eastAsia="zh-CN" w:bidi="ar-SA"/>
        </w:rPr>
        <w:t>开展外来入侵物种普查、监测预警和影响评估，多层次推动城区、街镇、社区打造生物多样性友好的城市样板。到2027年，城区蓝绿空间占比达到45%。</w:t>
      </w:r>
      <w:r>
        <w:rPr>
          <w:rFonts w:hint="eastAsia" w:ascii="楷体_GB2312" w:hAnsi="楷体_GB2312" w:eastAsia="楷体_GB2312" w:cs="楷体_GB2312"/>
          <w:b w:val="0"/>
          <w:bCs w:val="0"/>
          <w:kern w:val="2"/>
          <w:sz w:val="32"/>
          <w:szCs w:val="32"/>
          <w:highlight w:val="none"/>
          <w:lang w:val="en-US" w:eastAsia="zh-CN" w:bidi="ar-SA"/>
        </w:rPr>
        <w:t>（责任单位：市自然资源和城乡建设局、市生态环境局、市水利和湖泊局）</w:t>
      </w:r>
    </w:p>
    <w:p w14:paraId="757D5C80">
      <w:pPr>
        <w:keepNext w:val="0"/>
        <w:keepLines w:val="0"/>
        <w:pageBreakBefore w:val="0"/>
        <w:widowControl/>
        <w:numPr>
          <w:ilvl w:val="0"/>
          <w:numId w:val="2"/>
        </w:numPr>
        <w:suppressLineNumbers w:val="0"/>
        <w:kinsoku/>
        <w:wordWrap/>
        <w:overflowPunct/>
        <w:topLinePunct w:val="0"/>
        <w:autoSpaceDE/>
        <w:autoSpaceDN/>
        <w:bidi w:val="0"/>
        <w:adjustRightInd/>
        <w:snapToGrid/>
        <w:spacing w:before="0" w:beforeAutospacing="0" w:after="0" w:afterAutospacing="0" w:line="560" w:lineRule="exact"/>
        <w:ind w:left="0" w:leftChars="0" w:firstLine="643" w:firstLineChars="200"/>
        <w:jc w:val="both"/>
        <w:textAlignment w:val="auto"/>
        <w:outlineLvl w:val="2"/>
        <w:rPr>
          <w:rFonts w:hint="eastAsia" w:ascii="Times New Roman" w:hAnsi="Times New Roman" w:eastAsia="仿宋_GB2312" w:cs="仿宋_GB2312"/>
          <w:b w:val="0"/>
          <w:bCs w:val="0"/>
          <w:kern w:val="2"/>
          <w:sz w:val="32"/>
          <w:szCs w:val="32"/>
          <w:highlight w:val="none"/>
          <w:lang w:val="en-US" w:eastAsia="zh-CN" w:bidi="ar-SA"/>
        </w:rPr>
      </w:pPr>
      <w:r>
        <w:rPr>
          <w:rFonts w:hint="eastAsia" w:ascii="Times New Roman" w:hAnsi="Times New Roman" w:eastAsia="仿宋_GB2312" w:cs="仿宋_GB2312"/>
          <w:b/>
          <w:bCs/>
          <w:kern w:val="2"/>
          <w:sz w:val="32"/>
          <w:szCs w:val="32"/>
          <w:highlight w:val="none"/>
          <w:lang w:val="en-US" w:eastAsia="zh-CN" w:bidi="ar-SA"/>
        </w:rPr>
        <w:t>优化城市绿地布局。完善城市绿道网络，</w:t>
      </w:r>
      <w:r>
        <w:rPr>
          <w:rFonts w:hint="eastAsia" w:ascii="Times New Roman" w:hAnsi="Times New Roman" w:eastAsia="仿宋_GB2312" w:cs="仿宋_GB2312"/>
          <w:b w:val="0"/>
          <w:bCs w:val="0"/>
          <w:kern w:val="2"/>
          <w:sz w:val="32"/>
          <w:szCs w:val="32"/>
          <w:highlight w:val="none"/>
          <w:lang w:val="en-US" w:eastAsia="zh-CN" w:bidi="ar-SA"/>
        </w:rPr>
        <w:t>实施大冶湖环湖绿道提升行动，联动环磁湖绿道和黄荆山景观，打造大冶湖</w:t>
      </w:r>
      <w:r>
        <w:rPr>
          <w:rFonts w:hint="default" w:ascii="Times New Roman" w:hAnsi="Times New Roman" w:eastAsia="仿宋_GB2312" w:cs="Times New Roman"/>
          <w:b w:val="0"/>
          <w:bCs w:val="0"/>
          <w:snapToGrid w:val="0"/>
          <w:color w:val="000000"/>
          <w:kern w:val="0"/>
          <w:sz w:val="32"/>
          <w:szCs w:val="32"/>
          <w:highlight w:val="none"/>
          <w:shd w:val="clear" w:color="auto" w:fill="FFFFFF"/>
          <w:lang w:val="en-US" w:eastAsia="zh-CN"/>
        </w:rPr>
        <w:t>－</w:t>
      </w:r>
      <w:r>
        <w:rPr>
          <w:rFonts w:hint="eastAsia" w:ascii="Times New Roman" w:hAnsi="Times New Roman" w:eastAsia="仿宋_GB2312" w:cs="仿宋_GB2312"/>
          <w:b w:val="0"/>
          <w:bCs w:val="0"/>
          <w:kern w:val="2"/>
          <w:sz w:val="32"/>
          <w:szCs w:val="32"/>
          <w:highlight w:val="none"/>
          <w:lang w:val="en-US" w:eastAsia="zh-CN" w:bidi="ar-SA"/>
        </w:rPr>
        <w:t>黄荆山</w:t>
      </w:r>
      <w:r>
        <w:rPr>
          <w:rFonts w:hint="default" w:ascii="Times New Roman" w:hAnsi="Times New Roman" w:eastAsia="仿宋_GB2312" w:cs="Times New Roman"/>
          <w:b w:val="0"/>
          <w:bCs w:val="0"/>
          <w:snapToGrid w:val="0"/>
          <w:color w:val="000000"/>
          <w:kern w:val="0"/>
          <w:sz w:val="32"/>
          <w:szCs w:val="32"/>
          <w:highlight w:val="none"/>
          <w:shd w:val="clear" w:color="auto" w:fill="FFFFFF"/>
          <w:lang w:val="en-US" w:eastAsia="zh-CN"/>
        </w:rPr>
        <w:t>－</w:t>
      </w:r>
      <w:r>
        <w:rPr>
          <w:rFonts w:hint="eastAsia" w:ascii="Times New Roman" w:hAnsi="Times New Roman" w:eastAsia="仿宋_GB2312" w:cs="仿宋_GB2312"/>
          <w:b w:val="0"/>
          <w:bCs w:val="0"/>
          <w:kern w:val="2"/>
          <w:sz w:val="32"/>
          <w:szCs w:val="32"/>
          <w:highlight w:val="none"/>
          <w:lang w:val="en-US" w:eastAsia="zh-CN" w:bidi="ar-SA"/>
        </w:rPr>
        <w:t>磁湖等绿道走廊。加快城市次干道、支路绿化提质升级，建立城市林荫慢行系统。</w:t>
      </w:r>
      <w:r>
        <w:rPr>
          <w:rFonts w:hint="eastAsia" w:ascii="Times New Roman" w:hAnsi="Times New Roman" w:eastAsia="仿宋_GB2312" w:cs="仿宋_GB2312"/>
          <w:b/>
          <w:bCs/>
          <w:kern w:val="2"/>
          <w:sz w:val="32"/>
          <w:szCs w:val="32"/>
          <w:highlight w:val="none"/>
          <w:lang w:val="en-US" w:eastAsia="zh-CN" w:bidi="ar-SA"/>
        </w:rPr>
        <w:t>持续实施花城计划，</w:t>
      </w:r>
      <w:r>
        <w:rPr>
          <w:rFonts w:hint="eastAsia" w:ascii="Times New Roman" w:hAnsi="Times New Roman" w:eastAsia="仿宋_GB2312" w:cs="仿宋_GB2312"/>
          <w:b w:val="0"/>
          <w:bCs w:val="0"/>
          <w:kern w:val="2"/>
          <w:sz w:val="32"/>
          <w:szCs w:val="32"/>
          <w:highlight w:val="none"/>
          <w:lang w:val="en-US" w:eastAsia="zh-CN" w:bidi="ar-SA"/>
        </w:rPr>
        <w:t>开展桥下空间、废弃地块等“金角银边”公园化改造，推动牧羊湖、新下陆等区域新增一批口袋公园。加快墨斗山社区公园建设，改造提升团城山公园、西塞山公园和大众山城市休闲公园。到2027年，城市绿化覆盖率不低于43%，人均公园绿地面积达到15平方米。</w:t>
      </w:r>
      <w:r>
        <w:rPr>
          <w:rFonts w:hint="eastAsia" w:ascii="楷体_GB2312" w:hAnsi="楷体_GB2312" w:eastAsia="楷体_GB2312" w:cs="楷体_GB2312"/>
          <w:b w:val="0"/>
          <w:bCs w:val="0"/>
          <w:kern w:val="2"/>
          <w:sz w:val="32"/>
          <w:szCs w:val="32"/>
          <w:highlight w:val="none"/>
          <w:lang w:val="en-US" w:eastAsia="zh-CN" w:bidi="ar-SA"/>
        </w:rPr>
        <w:t>（责任单位：市自然资源和城乡建设局、市城管委、市住房和城市更新局）</w:t>
      </w:r>
    </w:p>
    <w:p w14:paraId="214A0E1D">
      <w:pPr>
        <w:keepNext w:val="0"/>
        <w:keepLines w:val="0"/>
        <w:pageBreakBefore w:val="0"/>
        <w:widowControl/>
        <w:numPr>
          <w:ilvl w:val="0"/>
          <w:numId w:val="2"/>
        </w:numPr>
        <w:suppressLineNumbers w:val="0"/>
        <w:kinsoku/>
        <w:wordWrap/>
        <w:overflowPunct/>
        <w:topLinePunct w:val="0"/>
        <w:autoSpaceDE/>
        <w:autoSpaceDN/>
        <w:bidi w:val="0"/>
        <w:adjustRightInd/>
        <w:snapToGrid/>
        <w:spacing w:before="0" w:beforeAutospacing="0" w:after="0" w:afterAutospacing="0" w:line="560" w:lineRule="exact"/>
        <w:ind w:left="0" w:leftChars="0" w:firstLine="643" w:firstLineChars="200"/>
        <w:jc w:val="both"/>
        <w:textAlignment w:val="auto"/>
        <w:outlineLvl w:val="2"/>
        <w:rPr>
          <w:rFonts w:hint="eastAsia" w:ascii="楷体_GB2312" w:hAnsi="楷体_GB2312" w:eastAsia="楷体_GB2312" w:cs="楷体_GB2312"/>
          <w:b w:val="0"/>
          <w:bCs w:val="0"/>
          <w:kern w:val="2"/>
          <w:sz w:val="32"/>
          <w:szCs w:val="32"/>
          <w:highlight w:val="none"/>
          <w:lang w:val="en-US" w:eastAsia="zh-CN" w:bidi="ar-SA"/>
        </w:rPr>
      </w:pPr>
      <w:r>
        <w:rPr>
          <w:rFonts w:hint="eastAsia" w:ascii="Times New Roman" w:hAnsi="Times New Roman" w:eastAsia="仿宋_GB2312" w:cs="仿宋_GB2312"/>
          <w:b/>
          <w:bCs/>
          <w:kern w:val="0"/>
          <w:sz w:val="32"/>
          <w:szCs w:val="32"/>
          <w:highlight w:val="none"/>
          <w:lang w:val="en-US" w:eastAsia="zh-CN"/>
        </w:rPr>
        <w:t>提升城市生态功能。实施城市景观微改造，</w:t>
      </w:r>
      <w:r>
        <w:rPr>
          <w:rFonts w:hint="eastAsia" w:ascii="Times New Roman" w:hAnsi="Times New Roman" w:eastAsia="仿宋_GB2312" w:cs="仿宋_GB2312"/>
          <w:b w:val="0"/>
          <w:bCs w:val="0"/>
          <w:kern w:val="0"/>
          <w:sz w:val="32"/>
          <w:szCs w:val="32"/>
          <w:highlight w:val="none"/>
          <w:lang w:val="en-US" w:eastAsia="zh-CN"/>
        </w:rPr>
        <w:t>更新改造老旧火车站及周边街区，推动沿铁路公共空间和景观界面提质升级，打造以铁路公园、工业遗址公园为主题的城市新场景。开展老旧厂房升级改造与利用工程。</w:t>
      </w:r>
      <w:r>
        <w:rPr>
          <w:rFonts w:hint="eastAsia" w:ascii="Times New Roman" w:hAnsi="Times New Roman" w:eastAsia="仿宋_GB2312" w:cs="仿宋_GB2312"/>
          <w:b/>
          <w:bCs/>
          <w:kern w:val="2"/>
          <w:sz w:val="32"/>
          <w:szCs w:val="32"/>
          <w:highlight w:val="none"/>
          <w:lang w:val="en-US" w:eastAsia="zh-CN" w:bidi="ar-SA"/>
        </w:rPr>
        <w:t>建设城市生态社区，</w:t>
      </w:r>
      <w:r>
        <w:rPr>
          <w:rFonts w:hint="eastAsia" w:ascii="Times New Roman" w:hAnsi="Times New Roman" w:eastAsia="仿宋_GB2312" w:cs="仿宋_GB2312"/>
          <w:b w:val="0"/>
          <w:bCs w:val="0"/>
          <w:kern w:val="2"/>
          <w:sz w:val="32"/>
          <w:szCs w:val="32"/>
          <w:highlight w:val="none"/>
          <w:lang w:val="en-US" w:eastAsia="zh-CN" w:bidi="ar-SA"/>
        </w:rPr>
        <w:t>优化十五分钟生活圈要素配置，</w:t>
      </w:r>
      <w:r>
        <w:rPr>
          <w:rFonts w:hint="eastAsia" w:ascii="Times New Roman" w:hAnsi="Times New Roman" w:eastAsia="仿宋_GB2312" w:cs="仿宋_GB2312"/>
          <w:b w:val="0"/>
          <w:bCs w:val="0"/>
          <w:kern w:val="0"/>
          <w:sz w:val="32"/>
          <w:szCs w:val="32"/>
          <w:highlight w:val="none"/>
          <w:lang w:val="en-US" w:eastAsia="zh-CN"/>
        </w:rPr>
        <w:t>整治小区及周边绿化环境，</w:t>
      </w:r>
      <w:r>
        <w:rPr>
          <w:rFonts w:hint="eastAsia" w:ascii="Times New Roman" w:hAnsi="Times New Roman" w:eastAsia="仿宋_GB2312" w:cs="仿宋_GB2312"/>
          <w:b w:val="0"/>
          <w:bCs w:val="0"/>
          <w:kern w:val="2"/>
          <w:sz w:val="32"/>
          <w:szCs w:val="32"/>
          <w:highlight w:val="none"/>
          <w:lang w:val="en-US" w:eastAsia="zh-CN" w:bidi="ar-SA"/>
        </w:rPr>
        <w:t>实施社区基础设施绿色化改造，开展社区生态环境志愿服务活动</w:t>
      </w:r>
      <w:r>
        <w:rPr>
          <w:rFonts w:hint="eastAsia" w:ascii="Times New Roman" w:hAnsi="Times New Roman" w:eastAsia="仿宋_GB2312" w:cs="仿宋_GB2312"/>
          <w:b w:val="0"/>
          <w:bCs w:val="0"/>
          <w:kern w:val="0"/>
          <w:sz w:val="32"/>
          <w:szCs w:val="32"/>
          <w:highlight w:val="none"/>
          <w:lang w:val="en-US" w:eastAsia="zh-CN"/>
        </w:rPr>
        <w:t>。</w:t>
      </w:r>
      <w:r>
        <w:rPr>
          <w:rFonts w:hint="eastAsia" w:ascii="Times New Roman" w:hAnsi="Times New Roman" w:eastAsia="仿宋_GB2312" w:cs="仿宋_GB2312"/>
          <w:b/>
          <w:bCs/>
          <w:kern w:val="0"/>
          <w:sz w:val="32"/>
          <w:szCs w:val="32"/>
          <w:highlight w:val="none"/>
          <w:lang w:val="en-US" w:eastAsia="zh-CN"/>
        </w:rPr>
        <w:t>实施建筑节能和绿色化改造，</w:t>
      </w:r>
      <w:r>
        <w:rPr>
          <w:rFonts w:hint="eastAsia" w:ascii="Times New Roman" w:hAnsi="Times New Roman" w:eastAsia="仿宋_GB2312" w:cs="仿宋_GB2312"/>
          <w:b w:val="0"/>
          <w:bCs w:val="0"/>
          <w:color w:val="auto"/>
          <w:kern w:val="0"/>
          <w:sz w:val="32"/>
          <w:szCs w:val="32"/>
          <w:highlight w:val="none"/>
          <w:lang w:val="en-US" w:eastAsia="zh-CN"/>
        </w:rPr>
        <w:t>结合城市更新、老旧小区改造，加大既有建筑节能改造力度，推广装配式、超低能耗和近零碳建筑。到2027年，低碳节能改造既有建筑面积达到10</w:t>
      </w:r>
      <w:r>
        <w:rPr>
          <w:rFonts w:hint="eastAsia" w:ascii="Times New Roman" w:hAnsi="Times New Roman" w:eastAsia="仿宋_GB2312" w:cs="仿宋_GB2312"/>
          <w:b w:val="0"/>
          <w:bCs w:val="0"/>
          <w:kern w:val="0"/>
          <w:sz w:val="32"/>
          <w:szCs w:val="32"/>
          <w:highlight w:val="none"/>
          <w:lang w:val="en-US" w:eastAsia="zh-CN"/>
        </w:rPr>
        <w:t>万平方米，完整社区覆盖率达到50%，</w:t>
      </w:r>
      <w:r>
        <w:rPr>
          <w:rFonts w:hint="eastAsia" w:ascii="Times New Roman" w:hAnsi="Times New Roman" w:eastAsia="仿宋_GB2312" w:cs="仿宋_GB2312"/>
          <w:b w:val="0"/>
          <w:bCs w:val="0"/>
          <w:kern w:val="2"/>
          <w:sz w:val="32"/>
          <w:szCs w:val="32"/>
          <w:highlight w:val="none"/>
          <w:lang w:val="en-US" w:eastAsia="zh-CN" w:bidi="ar-SA"/>
        </w:rPr>
        <w:t>打造10个生态社区</w:t>
      </w:r>
      <w:r>
        <w:rPr>
          <w:rFonts w:hint="eastAsia" w:ascii="Times New Roman" w:hAnsi="Times New Roman" w:eastAsia="仿宋_GB2312" w:cs="仿宋_GB2312"/>
          <w:b w:val="0"/>
          <w:bCs w:val="0"/>
          <w:kern w:val="0"/>
          <w:sz w:val="32"/>
          <w:szCs w:val="32"/>
          <w:highlight w:val="none"/>
          <w:lang w:val="en-US" w:eastAsia="zh-CN"/>
        </w:rPr>
        <w:t>。</w:t>
      </w:r>
      <w:r>
        <w:rPr>
          <w:rFonts w:hint="eastAsia" w:ascii="楷体_GB2312" w:hAnsi="楷体_GB2312" w:eastAsia="楷体_GB2312" w:cs="楷体_GB2312"/>
          <w:b w:val="0"/>
          <w:bCs w:val="0"/>
          <w:kern w:val="2"/>
          <w:sz w:val="32"/>
          <w:szCs w:val="32"/>
          <w:highlight w:val="none"/>
          <w:lang w:val="en-US" w:eastAsia="zh-CN" w:bidi="ar-SA"/>
        </w:rPr>
        <w:t>（责任单位：市住房和城市更新局、市自然资源和城乡建设局、市生态环境局）</w:t>
      </w:r>
    </w:p>
    <w:p w14:paraId="4086F189">
      <w:pPr>
        <w:keepNext w:val="0"/>
        <w:keepLines w:val="0"/>
        <w:pageBreakBefore w:val="0"/>
        <w:numPr>
          <w:ilvl w:val="0"/>
          <w:numId w:val="1"/>
        </w:numPr>
        <w:kinsoku/>
        <w:wordWrap/>
        <w:overflowPunct/>
        <w:topLinePunct w:val="0"/>
        <w:autoSpaceDE/>
        <w:autoSpaceDN/>
        <w:bidi w:val="0"/>
        <w:adjustRightInd/>
        <w:snapToGrid/>
        <w:spacing w:beforeAutospacing="0" w:afterAutospacing="0" w:line="560" w:lineRule="exact"/>
        <w:ind w:left="0" w:leftChars="0" w:firstLine="640" w:firstLineChars="200"/>
        <w:jc w:val="both"/>
        <w:textAlignment w:val="auto"/>
        <w:outlineLvl w:val="1"/>
        <w:rPr>
          <w:rFonts w:hint="eastAsia" w:ascii="Times New Roman" w:hAnsi="Times New Roman" w:eastAsia="楷体_GB2312" w:cs="楷体_GB2312"/>
          <w:b w:val="0"/>
          <w:bCs w:val="0"/>
          <w:sz w:val="32"/>
          <w:szCs w:val="32"/>
          <w:highlight w:val="none"/>
          <w:lang w:val="en-US" w:eastAsia="zh-CN"/>
        </w:rPr>
      </w:pPr>
      <w:r>
        <w:rPr>
          <w:rFonts w:hint="eastAsia" w:ascii="Times New Roman" w:hAnsi="Times New Roman" w:eastAsia="楷体_GB2312" w:cs="楷体_GB2312"/>
          <w:b w:val="0"/>
          <w:bCs w:val="0"/>
          <w:sz w:val="32"/>
          <w:szCs w:val="32"/>
          <w:highlight w:val="none"/>
          <w:lang w:val="en-US" w:eastAsia="zh-CN"/>
        </w:rPr>
        <w:t>实施安全水平提档升级行动，</w:t>
      </w:r>
      <w:r>
        <w:rPr>
          <w:rFonts w:hint="eastAsia" w:ascii="Times New Roman" w:hAnsi="Times New Roman" w:eastAsia="楷体_GB2312" w:cs="楷体_GB2312"/>
          <w:b w:val="0"/>
          <w:bCs w:val="0"/>
          <w:sz w:val="32"/>
          <w:szCs w:val="32"/>
          <w:highlight w:val="none"/>
        </w:rPr>
        <w:t>打造</w:t>
      </w:r>
      <w:r>
        <w:rPr>
          <w:rFonts w:hint="eastAsia" w:ascii="Times New Roman" w:hAnsi="Times New Roman" w:eastAsia="楷体_GB2312" w:cs="楷体_GB2312"/>
          <w:b w:val="0"/>
          <w:bCs w:val="0"/>
          <w:sz w:val="32"/>
          <w:szCs w:val="32"/>
          <w:highlight w:val="none"/>
          <w:lang w:val="en-US" w:eastAsia="zh-CN"/>
        </w:rPr>
        <w:t>环境</w:t>
      </w:r>
      <w:r>
        <w:rPr>
          <w:rFonts w:hint="eastAsia" w:ascii="Times New Roman" w:hAnsi="Times New Roman" w:eastAsia="楷体_GB2312" w:cs="楷体_GB2312"/>
          <w:b w:val="0"/>
          <w:bCs w:val="0"/>
          <w:sz w:val="32"/>
          <w:szCs w:val="32"/>
          <w:highlight w:val="none"/>
        </w:rPr>
        <w:t>健康韧性城市</w:t>
      </w:r>
      <w:r>
        <w:rPr>
          <w:rFonts w:hint="eastAsia" w:ascii="Times New Roman" w:hAnsi="Times New Roman" w:eastAsia="楷体_GB2312" w:cs="楷体_GB2312"/>
          <w:b w:val="0"/>
          <w:bCs w:val="0"/>
          <w:sz w:val="32"/>
          <w:szCs w:val="32"/>
          <w:highlight w:val="none"/>
          <w:lang w:eastAsia="zh-CN"/>
        </w:rPr>
        <w:t>。</w:t>
      </w:r>
    </w:p>
    <w:p w14:paraId="23A3E7AA">
      <w:pPr>
        <w:keepNext w:val="0"/>
        <w:keepLines w:val="0"/>
        <w:pageBreakBefore w:val="0"/>
        <w:widowControl/>
        <w:numPr>
          <w:ilvl w:val="0"/>
          <w:numId w:val="2"/>
        </w:numPr>
        <w:suppressLineNumbers w:val="0"/>
        <w:kinsoku/>
        <w:wordWrap/>
        <w:overflowPunct/>
        <w:topLinePunct w:val="0"/>
        <w:autoSpaceDE/>
        <w:autoSpaceDN/>
        <w:bidi w:val="0"/>
        <w:adjustRightInd/>
        <w:snapToGrid/>
        <w:spacing w:before="0" w:beforeAutospacing="0" w:after="0" w:afterAutospacing="0" w:line="560" w:lineRule="exact"/>
        <w:ind w:left="0" w:leftChars="0" w:firstLine="643" w:firstLineChars="200"/>
        <w:jc w:val="both"/>
        <w:textAlignment w:val="auto"/>
        <w:outlineLvl w:val="2"/>
        <w:rPr>
          <w:rFonts w:hint="eastAsia" w:ascii="楷体_GB2312" w:hAnsi="楷体_GB2312" w:eastAsia="楷体_GB2312" w:cs="楷体_GB2312"/>
          <w:b w:val="0"/>
          <w:bCs w:val="0"/>
          <w:kern w:val="2"/>
          <w:sz w:val="32"/>
          <w:szCs w:val="32"/>
          <w:highlight w:val="none"/>
          <w:lang w:eastAsia="zh-CN" w:bidi="ar-SA"/>
        </w:rPr>
      </w:pPr>
      <w:r>
        <w:rPr>
          <w:rFonts w:hint="eastAsia" w:ascii="Times New Roman" w:hAnsi="Times New Roman" w:eastAsia="仿宋_GB2312" w:cs="仿宋_GB2312"/>
          <w:b/>
          <w:bCs/>
          <w:kern w:val="0"/>
          <w:sz w:val="32"/>
          <w:szCs w:val="32"/>
          <w:highlight w:val="none"/>
          <w:lang w:val="en-US" w:eastAsia="zh-CN"/>
        </w:rPr>
        <w:t>增强供水供气保障能力</w:t>
      </w:r>
      <w:r>
        <w:rPr>
          <w:rFonts w:hint="eastAsia" w:ascii="Times New Roman" w:hAnsi="Times New Roman" w:eastAsia="仿宋_GB2312" w:cs="仿宋_GB2312"/>
          <w:b/>
          <w:bCs/>
          <w:kern w:val="2"/>
          <w:sz w:val="32"/>
          <w:szCs w:val="32"/>
          <w:highlight w:val="none"/>
          <w:lang w:eastAsia="zh-CN" w:bidi="ar-SA"/>
        </w:rPr>
        <w:t>。加强城市饮用水源地保护，</w:t>
      </w:r>
      <w:r>
        <w:rPr>
          <w:rFonts w:hint="eastAsia" w:ascii="Times New Roman" w:hAnsi="Times New Roman" w:eastAsia="仿宋_GB2312" w:cs="仿宋_GB2312"/>
          <w:b w:val="0"/>
          <w:bCs w:val="0"/>
          <w:kern w:val="2"/>
          <w:sz w:val="32"/>
          <w:szCs w:val="32"/>
          <w:highlight w:val="none"/>
          <w:lang w:val="en-US" w:eastAsia="zh-CN" w:bidi="ar-SA"/>
        </w:rPr>
        <w:t>持续开展集中式饮用水水源地保护和治理专项行动，全面完成</w:t>
      </w:r>
      <w:r>
        <w:rPr>
          <w:rFonts w:hint="default" w:ascii="Times New Roman" w:hAnsi="Times New Roman" w:eastAsia="仿宋_GB2312" w:cs="仿宋_GB2312"/>
          <w:b w:val="0"/>
          <w:bCs w:val="0"/>
          <w:kern w:val="2"/>
          <w:sz w:val="32"/>
          <w:szCs w:val="32"/>
          <w:highlight w:val="none"/>
          <w:lang w:val="en-US" w:eastAsia="zh-CN" w:bidi="ar-SA"/>
        </w:rPr>
        <w:t>城市</w:t>
      </w:r>
      <w:r>
        <w:rPr>
          <w:rFonts w:hint="eastAsia" w:ascii="Times New Roman" w:hAnsi="Times New Roman" w:eastAsia="仿宋_GB2312" w:cs="仿宋_GB2312"/>
          <w:b w:val="0"/>
          <w:bCs w:val="0"/>
          <w:kern w:val="2"/>
          <w:sz w:val="32"/>
          <w:szCs w:val="32"/>
          <w:highlight w:val="none"/>
          <w:lang w:val="en-US" w:eastAsia="zh-CN" w:bidi="ar-SA"/>
        </w:rPr>
        <w:t>水源地规范化建设，确保集中式饮用水水源地优良率保持100%。</w:t>
      </w:r>
      <w:r>
        <w:rPr>
          <w:rFonts w:hint="eastAsia" w:ascii="Times New Roman" w:hAnsi="Times New Roman" w:eastAsia="仿宋_GB2312" w:cs="仿宋_GB2312"/>
          <w:b/>
          <w:bCs/>
          <w:kern w:val="2"/>
          <w:sz w:val="32"/>
          <w:szCs w:val="32"/>
          <w:highlight w:val="none"/>
          <w:lang w:val="en-US" w:eastAsia="zh-CN" w:bidi="ar-SA"/>
        </w:rPr>
        <w:t>实施城市生命线安全工程，</w:t>
      </w:r>
      <w:r>
        <w:rPr>
          <w:rFonts w:hint="eastAsia" w:ascii="Times New Roman" w:hAnsi="Times New Roman" w:eastAsia="仿宋_GB2312" w:cs="仿宋_GB2312"/>
          <w:b w:val="0"/>
          <w:bCs w:val="0"/>
          <w:kern w:val="2"/>
          <w:sz w:val="32"/>
          <w:szCs w:val="32"/>
          <w:highlight w:val="none"/>
          <w:lang w:val="en-US" w:eastAsia="zh-CN" w:bidi="ar-SA"/>
        </w:rPr>
        <w:t>开展城市地下管线系统性普查与隐患治理行动，优先推进老旧燃气、供水、供热等管网更新改造。常态化开展燃气安全隐患集中排查整治行动，推进老旧小区和餐饮场所“瓶改管”，构建全天候智慧燃气安全防护网，实现用气安全隐患问题动态清零。</w:t>
      </w:r>
      <w:r>
        <w:rPr>
          <w:rFonts w:hint="eastAsia" w:ascii="楷体_GB2312" w:hAnsi="楷体_GB2312" w:eastAsia="楷体_GB2312" w:cs="楷体_GB2312"/>
          <w:b w:val="0"/>
          <w:bCs w:val="0"/>
          <w:kern w:val="2"/>
          <w:sz w:val="32"/>
          <w:szCs w:val="32"/>
          <w:highlight w:val="none"/>
          <w:lang w:val="en-US" w:eastAsia="zh-CN" w:bidi="ar-SA"/>
        </w:rPr>
        <w:t>（责任单位：市生态环境局、市城管委）</w:t>
      </w:r>
    </w:p>
    <w:p w14:paraId="36BCD27C">
      <w:pPr>
        <w:keepNext w:val="0"/>
        <w:keepLines w:val="0"/>
        <w:pageBreakBefore w:val="0"/>
        <w:widowControl/>
        <w:numPr>
          <w:ilvl w:val="0"/>
          <w:numId w:val="2"/>
        </w:numPr>
        <w:suppressLineNumbers w:val="0"/>
        <w:kinsoku/>
        <w:wordWrap/>
        <w:overflowPunct/>
        <w:topLinePunct w:val="0"/>
        <w:autoSpaceDE/>
        <w:autoSpaceDN/>
        <w:bidi w:val="0"/>
        <w:adjustRightInd/>
        <w:snapToGrid/>
        <w:spacing w:before="0" w:beforeAutospacing="0" w:after="0" w:afterAutospacing="0" w:line="560" w:lineRule="exact"/>
        <w:ind w:left="0" w:leftChars="0" w:firstLine="643" w:firstLineChars="200"/>
        <w:jc w:val="both"/>
        <w:textAlignment w:val="auto"/>
        <w:outlineLvl w:val="2"/>
        <w:rPr>
          <w:rFonts w:hint="eastAsia" w:ascii="楷体_GB2312" w:hAnsi="楷体_GB2312" w:eastAsia="楷体_GB2312" w:cs="楷体_GB2312"/>
          <w:b w:val="0"/>
          <w:bCs w:val="0"/>
          <w:kern w:val="2"/>
          <w:sz w:val="32"/>
          <w:szCs w:val="32"/>
          <w:highlight w:val="none"/>
          <w:lang w:val="en-US" w:eastAsia="zh-CN" w:bidi="ar-SA"/>
        </w:rPr>
      </w:pPr>
      <w:r>
        <w:rPr>
          <w:rFonts w:hint="eastAsia" w:ascii="Times New Roman" w:hAnsi="Times New Roman" w:eastAsia="仿宋_GB2312" w:cs="仿宋_GB2312"/>
          <w:b/>
          <w:bCs/>
          <w:kern w:val="2"/>
          <w:sz w:val="32"/>
          <w:szCs w:val="32"/>
          <w:highlight w:val="none"/>
          <w:lang w:val="en-US" w:eastAsia="zh-CN" w:bidi="ar-SA"/>
        </w:rPr>
        <w:t>增强城市适应气候变化能力。提升城市气候韧性，</w:t>
      </w:r>
      <w:r>
        <w:rPr>
          <w:rFonts w:hint="eastAsia" w:ascii="Times New Roman" w:hAnsi="Times New Roman" w:eastAsia="仿宋_GB2312" w:cs="仿宋_GB2312"/>
          <w:b w:val="0"/>
          <w:bCs w:val="0"/>
          <w:kern w:val="0"/>
          <w:sz w:val="32"/>
          <w:szCs w:val="32"/>
          <w:highlight w:val="none"/>
          <w:lang w:val="en-US" w:eastAsia="zh-CN"/>
        </w:rPr>
        <w:t>编制城市温室气体清单，探索开展有色、建材等重点行业碳足迹核算和全生命周期评估。</w:t>
      </w:r>
      <w:r>
        <w:rPr>
          <w:rFonts w:hint="eastAsia" w:ascii="Times New Roman" w:hAnsi="Times New Roman" w:eastAsia="仿宋_GB2312" w:cs="仿宋_GB2312"/>
          <w:b w:val="0"/>
          <w:bCs w:val="0"/>
          <w:kern w:val="2"/>
          <w:sz w:val="32"/>
          <w:szCs w:val="32"/>
          <w:highlight w:val="none"/>
          <w:lang w:val="en-US" w:eastAsia="zh-CN" w:bidi="ar-SA"/>
        </w:rPr>
        <w:t>推动编制城市气候风险地图，强化</w:t>
      </w:r>
      <w:r>
        <w:rPr>
          <w:rFonts w:hint="eastAsia" w:ascii="Times New Roman" w:hAnsi="Times New Roman" w:eastAsia="仿宋_GB2312" w:cs="Times New Roman"/>
          <w:b w:val="0"/>
          <w:bCs w:val="0"/>
          <w:kern w:val="0"/>
          <w:sz w:val="32"/>
          <w:szCs w:val="32"/>
          <w:highlight w:val="none"/>
          <w:lang w:val="en-US" w:eastAsia="zh-CN"/>
        </w:rPr>
        <w:t>气候变化对关键脆弱领域和区域的影响和风险评估</w:t>
      </w:r>
      <w:r>
        <w:rPr>
          <w:rFonts w:hint="eastAsia" w:ascii="Times New Roman" w:hAnsi="Times New Roman" w:eastAsia="仿宋_GB2312" w:cs="仿宋_GB2312"/>
          <w:b w:val="0"/>
          <w:bCs w:val="0"/>
          <w:kern w:val="2"/>
          <w:sz w:val="32"/>
          <w:szCs w:val="32"/>
          <w:highlight w:val="none"/>
          <w:lang w:val="en-US" w:eastAsia="zh-CN" w:bidi="ar-SA"/>
        </w:rPr>
        <w:t>。</w:t>
      </w:r>
      <w:r>
        <w:rPr>
          <w:rFonts w:hint="eastAsia" w:ascii="Times New Roman" w:hAnsi="Times New Roman" w:eastAsia="仿宋_GB2312" w:cs="仿宋_GB2312"/>
          <w:b/>
          <w:bCs/>
          <w:kern w:val="2"/>
          <w:sz w:val="32"/>
          <w:szCs w:val="32"/>
          <w:highlight w:val="none"/>
          <w:lang w:val="en-US" w:eastAsia="zh-CN" w:bidi="ar-SA"/>
        </w:rPr>
        <w:t>深化海绵城市建设，</w:t>
      </w:r>
      <w:r>
        <w:rPr>
          <w:rFonts w:hint="eastAsia" w:ascii="Times New Roman" w:hAnsi="Times New Roman" w:eastAsia="仿宋_GB2312" w:cs="仿宋_GB2312"/>
          <w:b w:val="0"/>
          <w:bCs w:val="0"/>
          <w:kern w:val="2"/>
          <w:sz w:val="32"/>
          <w:szCs w:val="32"/>
          <w:highlight w:val="none"/>
          <w:lang w:val="en-US" w:eastAsia="zh-CN" w:bidi="ar-SA"/>
        </w:rPr>
        <w:t>划定城市洪涝风险防控线，建设雨水调蓄池，提高环磁湖、胜阳港谭家桥等片区排涝能力。推动团城山公园、人民广场等设施老化区域海绵化改造，开展西塞山区海绵城市提升改造工程，建设金山人民公园、黄石市奥林匹克公园等渗滞功能为主的海绵型公园绿地。到2027年，城市可透水地面面积比例保持长期稳定不降低，占建成区的比例不低于47%。</w:t>
      </w:r>
      <w:r>
        <w:rPr>
          <w:rFonts w:hint="eastAsia" w:ascii="楷体_GB2312" w:hAnsi="楷体_GB2312" w:eastAsia="楷体_GB2312" w:cs="楷体_GB2312"/>
          <w:b w:val="0"/>
          <w:bCs w:val="0"/>
          <w:kern w:val="2"/>
          <w:sz w:val="32"/>
          <w:szCs w:val="32"/>
          <w:highlight w:val="none"/>
          <w:lang w:val="en-US" w:eastAsia="zh-CN" w:bidi="ar-SA"/>
        </w:rPr>
        <w:t>（责任单位：市生态环境局、市发改委、市住房和城市更新局、市水利和湖泊局、市自然资源和城乡建设局、市气象局）</w:t>
      </w:r>
    </w:p>
    <w:p w14:paraId="311A0011">
      <w:pPr>
        <w:keepNext w:val="0"/>
        <w:keepLines w:val="0"/>
        <w:pageBreakBefore w:val="0"/>
        <w:widowControl/>
        <w:numPr>
          <w:ilvl w:val="0"/>
          <w:numId w:val="2"/>
        </w:numPr>
        <w:suppressLineNumbers w:val="0"/>
        <w:kinsoku/>
        <w:wordWrap/>
        <w:overflowPunct/>
        <w:topLinePunct w:val="0"/>
        <w:autoSpaceDE/>
        <w:autoSpaceDN/>
        <w:bidi w:val="0"/>
        <w:adjustRightInd/>
        <w:snapToGrid/>
        <w:spacing w:before="0" w:beforeAutospacing="0" w:after="0" w:afterAutospacing="0" w:line="560" w:lineRule="exact"/>
        <w:ind w:left="0" w:leftChars="0" w:firstLine="643" w:firstLineChars="200"/>
        <w:jc w:val="both"/>
        <w:textAlignment w:val="auto"/>
        <w:outlineLvl w:val="2"/>
        <w:rPr>
          <w:rFonts w:hint="eastAsia" w:ascii="楷体_GB2312" w:hAnsi="楷体_GB2312" w:eastAsia="楷体_GB2312" w:cs="楷体_GB2312"/>
          <w:b w:val="0"/>
          <w:bCs w:val="0"/>
          <w:kern w:val="2"/>
          <w:sz w:val="32"/>
          <w:szCs w:val="32"/>
          <w:highlight w:val="none"/>
          <w:lang w:val="en-US" w:eastAsia="zh-CN" w:bidi="ar-SA"/>
        </w:rPr>
      </w:pPr>
      <w:r>
        <w:rPr>
          <w:rFonts w:hint="eastAsia" w:ascii="Times New Roman" w:hAnsi="Times New Roman" w:eastAsia="仿宋_GB2312" w:cs="仿宋_GB2312"/>
          <w:b/>
          <w:bCs/>
          <w:kern w:val="2"/>
          <w:sz w:val="32"/>
          <w:szCs w:val="32"/>
          <w:highlight w:val="none"/>
          <w:lang w:val="en-US" w:eastAsia="zh-CN" w:bidi="ar-SA"/>
        </w:rPr>
        <w:t>严控重点领域环境风险。深化危险废物和重金属环境监管，</w:t>
      </w:r>
      <w:r>
        <w:rPr>
          <w:rFonts w:hint="eastAsia" w:ascii="Times New Roman" w:hAnsi="Times New Roman" w:eastAsia="仿宋_GB2312" w:cs="仿宋_GB2312"/>
          <w:b w:val="0"/>
          <w:bCs w:val="0"/>
          <w:kern w:val="2"/>
          <w:sz w:val="32"/>
          <w:szCs w:val="32"/>
          <w:highlight w:val="none"/>
          <w:lang w:val="en-US" w:eastAsia="zh-CN" w:bidi="ar-SA"/>
        </w:rPr>
        <w:t>开展危险废物利用处置设施环境风险评估和提标改造，实施重金属环境安全隐患排查整治行动，加强重金属环境风险分区域差异化精准管控。</w:t>
      </w:r>
      <w:r>
        <w:rPr>
          <w:rFonts w:hint="eastAsia" w:ascii="Times New Roman" w:hAnsi="Times New Roman" w:eastAsia="仿宋_GB2312" w:cs="仿宋_GB2312"/>
          <w:b/>
          <w:bCs/>
          <w:kern w:val="2"/>
          <w:sz w:val="32"/>
          <w:szCs w:val="32"/>
          <w:highlight w:val="none"/>
          <w:lang w:val="en-US" w:eastAsia="zh-CN" w:bidi="ar-SA"/>
        </w:rPr>
        <w:t>加强新污染物环境风险防控，</w:t>
      </w:r>
      <w:r>
        <w:rPr>
          <w:rFonts w:hint="eastAsia" w:ascii="Times New Roman" w:hAnsi="Times New Roman" w:eastAsia="仿宋_GB2312" w:cs="仿宋_GB2312"/>
          <w:b w:val="0"/>
          <w:bCs w:val="0"/>
          <w:kern w:val="2"/>
          <w:sz w:val="32"/>
          <w:szCs w:val="32"/>
          <w:highlight w:val="none"/>
          <w:lang w:val="en-US" w:eastAsia="zh-CN" w:bidi="ar-SA"/>
        </w:rPr>
        <w:t>制定重点新污染物清单，加强抗生素、环境激素等新污染物监测、评估与治理。</w:t>
      </w:r>
      <w:r>
        <w:rPr>
          <w:rFonts w:hint="eastAsia" w:ascii="Times New Roman" w:hAnsi="Times New Roman" w:eastAsia="仿宋_GB2312" w:cs="仿宋_GB2312"/>
          <w:b/>
          <w:bCs/>
          <w:kern w:val="2"/>
          <w:sz w:val="32"/>
          <w:szCs w:val="32"/>
          <w:highlight w:val="none"/>
          <w:lang w:val="en-US" w:eastAsia="zh-CN" w:bidi="ar-SA"/>
        </w:rPr>
        <w:t>守牢核与辐射安全，</w:t>
      </w:r>
      <w:r>
        <w:rPr>
          <w:rFonts w:hint="eastAsia" w:ascii="Times New Roman" w:hAnsi="Times New Roman" w:eastAsia="仿宋_GB2312" w:cs="仿宋_GB2312"/>
          <w:b w:val="0"/>
          <w:bCs w:val="0"/>
          <w:kern w:val="2"/>
          <w:sz w:val="32"/>
          <w:szCs w:val="32"/>
          <w:highlight w:val="none"/>
          <w:lang w:val="en-US" w:eastAsia="zh-CN" w:bidi="ar-SA"/>
        </w:rPr>
        <w:t>加强放射源及电磁辐射设施的安全监管，定期开展放射源隐患排查及核技术利用单位安全检查。</w:t>
      </w:r>
      <w:r>
        <w:rPr>
          <w:rFonts w:hint="eastAsia" w:ascii="Times New Roman" w:hAnsi="Times New Roman" w:eastAsia="仿宋_GB2312" w:cs="仿宋_GB2312"/>
          <w:b/>
          <w:bCs/>
          <w:kern w:val="2"/>
          <w:sz w:val="32"/>
          <w:szCs w:val="32"/>
          <w:highlight w:val="none"/>
          <w:lang w:val="en-US" w:eastAsia="zh-CN" w:bidi="ar-SA"/>
        </w:rPr>
        <w:t>完善应急管理预案体系，</w:t>
      </w:r>
      <w:r>
        <w:rPr>
          <w:rFonts w:hint="eastAsia" w:ascii="Times New Roman" w:hAnsi="Times New Roman" w:eastAsia="仿宋_GB2312" w:cs="仿宋_GB2312"/>
          <w:b w:val="0"/>
          <w:bCs w:val="0"/>
          <w:kern w:val="2"/>
          <w:sz w:val="32"/>
          <w:szCs w:val="32"/>
          <w:highlight w:val="none"/>
          <w:lang w:val="en-US" w:eastAsia="zh-CN" w:bidi="ar-SA"/>
        </w:rPr>
        <w:t>推进西塞山工业园区化工园“一园一策一图”。实施居民生态环境健康素养提升行动。到2027年，危险废物填埋处置量占比稳中有降。</w:t>
      </w:r>
      <w:r>
        <w:rPr>
          <w:rFonts w:hint="eastAsia" w:ascii="楷体_GB2312" w:hAnsi="楷体_GB2312" w:eastAsia="楷体_GB2312" w:cs="楷体_GB2312"/>
          <w:b w:val="0"/>
          <w:bCs w:val="0"/>
          <w:kern w:val="2"/>
          <w:sz w:val="32"/>
          <w:szCs w:val="32"/>
          <w:highlight w:val="none"/>
          <w:lang w:val="en-US" w:eastAsia="zh-CN" w:bidi="ar-SA"/>
        </w:rPr>
        <w:t>（责任单位：市生态环境局、市应急管理局、市公安局）</w:t>
      </w:r>
    </w:p>
    <w:p w14:paraId="252EE419">
      <w:pPr>
        <w:keepNext w:val="0"/>
        <w:keepLines w:val="0"/>
        <w:pageBreakBefore w:val="0"/>
        <w:numPr>
          <w:ilvl w:val="0"/>
          <w:numId w:val="1"/>
        </w:numPr>
        <w:kinsoku/>
        <w:wordWrap/>
        <w:overflowPunct/>
        <w:topLinePunct w:val="0"/>
        <w:autoSpaceDE/>
        <w:autoSpaceDN/>
        <w:bidi w:val="0"/>
        <w:adjustRightInd/>
        <w:snapToGrid/>
        <w:spacing w:beforeAutospacing="0" w:afterAutospacing="0" w:line="560" w:lineRule="exact"/>
        <w:ind w:left="0" w:leftChars="0" w:firstLine="640" w:firstLineChars="200"/>
        <w:jc w:val="both"/>
        <w:textAlignment w:val="auto"/>
        <w:outlineLvl w:val="1"/>
        <w:rPr>
          <w:rFonts w:hint="eastAsia" w:ascii="Times New Roman" w:hAnsi="Times New Roman" w:eastAsia="楷体_GB2312" w:cs="楷体_GB2312"/>
          <w:b w:val="0"/>
          <w:bCs w:val="0"/>
          <w:sz w:val="32"/>
          <w:szCs w:val="32"/>
          <w:highlight w:val="none"/>
          <w:lang w:val="en-US" w:eastAsia="zh-CN"/>
        </w:rPr>
      </w:pPr>
      <w:r>
        <w:rPr>
          <w:rFonts w:hint="eastAsia" w:ascii="Times New Roman" w:hAnsi="Times New Roman" w:eastAsia="楷体_GB2312" w:cs="楷体_GB2312"/>
          <w:b w:val="0"/>
          <w:bCs w:val="0"/>
          <w:sz w:val="32"/>
          <w:szCs w:val="32"/>
          <w:highlight w:val="none"/>
          <w:lang w:val="en-US" w:eastAsia="zh-CN"/>
        </w:rPr>
        <w:t>实施治理效能优化行动，打造智慧高效数字城市。</w:t>
      </w:r>
    </w:p>
    <w:p w14:paraId="5F77D0EE">
      <w:pPr>
        <w:keepNext w:val="0"/>
        <w:keepLines w:val="0"/>
        <w:pageBreakBefore w:val="0"/>
        <w:widowControl/>
        <w:numPr>
          <w:ilvl w:val="0"/>
          <w:numId w:val="2"/>
        </w:numPr>
        <w:suppressLineNumbers w:val="0"/>
        <w:kinsoku/>
        <w:wordWrap/>
        <w:overflowPunct/>
        <w:topLinePunct w:val="0"/>
        <w:autoSpaceDE/>
        <w:autoSpaceDN/>
        <w:bidi w:val="0"/>
        <w:adjustRightInd/>
        <w:snapToGrid/>
        <w:spacing w:before="0" w:beforeAutospacing="0" w:after="0" w:afterAutospacing="0" w:line="560" w:lineRule="exact"/>
        <w:ind w:left="0" w:leftChars="0" w:firstLine="643" w:firstLineChars="200"/>
        <w:jc w:val="both"/>
        <w:textAlignment w:val="auto"/>
        <w:outlineLvl w:val="2"/>
        <w:rPr>
          <w:rFonts w:hint="default" w:ascii="Times New Roman" w:hAnsi="Times New Roman" w:eastAsia="仿宋_GB2312" w:cs="仿宋_GB2312"/>
          <w:b w:val="0"/>
          <w:bCs w:val="0"/>
          <w:kern w:val="2"/>
          <w:sz w:val="32"/>
          <w:szCs w:val="32"/>
          <w:highlight w:val="none"/>
          <w:lang w:val="en-US" w:eastAsia="zh-CN" w:bidi="ar-SA"/>
        </w:rPr>
      </w:pPr>
      <w:r>
        <w:rPr>
          <w:rFonts w:hint="eastAsia" w:ascii="Times New Roman" w:hAnsi="Times New Roman" w:eastAsia="仿宋_GB2312" w:cs="仿宋_GB2312"/>
          <w:b/>
          <w:bCs/>
          <w:kern w:val="2"/>
          <w:sz w:val="32"/>
          <w:szCs w:val="32"/>
          <w:highlight w:val="none"/>
          <w:lang w:val="en-US" w:eastAsia="zh-CN" w:bidi="ar-SA"/>
        </w:rPr>
        <w:t>推进城市智慧化管理。完善城市数智化基础设施建设，</w:t>
      </w:r>
      <w:r>
        <w:rPr>
          <w:rFonts w:hint="eastAsia" w:ascii="Times New Roman" w:hAnsi="Times New Roman" w:eastAsia="仿宋_GB2312" w:cs="仿宋_GB2312"/>
          <w:b w:val="0"/>
          <w:bCs w:val="0"/>
          <w:kern w:val="2"/>
          <w:sz w:val="32"/>
          <w:szCs w:val="32"/>
          <w:highlight w:val="none"/>
          <w:lang w:val="en-US" w:eastAsia="zh-CN" w:bidi="ar-SA"/>
        </w:rPr>
        <w:t>加快推进“万兆城市”建设，实现5G-A网络规模化覆盖。建设大数据中心，健全地下管线、地面设施数字化档案，推广综合管廊模式，打造数字孪生城市。</w:t>
      </w:r>
      <w:r>
        <w:rPr>
          <w:rFonts w:hint="eastAsia" w:ascii="Times New Roman" w:hAnsi="Times New Roman" w:eastAsia="仿宋_GB2312" w:cs="仿宋_GB2312"/>
          <w:b/>
          <w:bCs/>
          <w:kern w:val="2"/>
          <w:sz w:val="32"/>
          <w:szCs w:val="32"/>
          <w:highlight w:val="none"/>
          <w:lang w:val="en-US" w:eastAsia="zh-CN" w:bidi="ar-SA"/>
        </w:rPr>
        <w:t>全面实施“人工智能+”行动，</w:t>
      </w:r>
      <w:r>
        <w:rPr>
          <w:rFonts w:hint="eastAsia" w:ascii="Times New Roman" w:hAnsi="Times New Roman" w:eastAsia="仿宋_GB2312" w:cs="仿宋_GB2312"/>
          <w:b w:val="0"/>
          <w:bCs w:val="0"/>
          <w:kern w:val="2"/>
          <w:sz w:val="32"/>
          <w:szCs w:val="32"/>
          <w:highlight w:val="none"/>
          <w:lang w:val="en-US" w:eastAsia="zh-CN" w:bidi="ar-SA"/>
        </w:rPr>
        <w:t>完善城市AI综合服务平台，推进鄂东城市综合智能体、鄂东工业智能体项目建设，开发城市智能体应用。建立全域物联感知平台，实现数据实时汇聚与智能分析，开发城市管理巡查、灾害预警等应用场景，推进运行感知、分析、决策、指挥一体化。</w:t>
      </w:r>
      <w:r>
        <w:rPr>
          <w:rFonts w:hint="eastAsia" w:ascii="楷体_GB2312" w:hAnsi="楷体_GB2312" w:eastAsia="楷体_GB2312" w:cs="楷体_GB2312"/>
          <w:b w:val="0"/>
          <w:bCs w:val="0"/>
          <w:kern w:val="2"/>
          <w:sz w:val="32"/>
          <w:szCs w:val="32"/>
          <w:highlight w:val="none"/>
          <w:lang w:val="en-US" w:eastAsia="zh-CN" w:bidi="ar-SA"/>
        </w:rPr>
        <w:t>（责任单位：市经信局、市数据局、市发改委、市国投集团）</w:t>
      </w:r>
    </w:p>
    <w:p w14:paraId="7E35C1C3">
      <w:pPr>
        <w:keepNext w:val="0"/>
        <w:keepLines w:val="0"/>
        <w:pageBreakBefore w:val="0"/>
        <w:widowControl/>
        <w:numPr>
          <w:ilvl w:val="0"/>
          <w:numId w:val="2"/>
        </w:numPr>
        <w:suppressLineNumbers w:val="0"/>
        <w:kinsoku/>
        <w:wordWrap/>
        <w:overflowPunct/>
        <w:topLinePunct w:val="0"/>
        <w:autoSpaceDE/>
        <w:autoSpaceDN/>
        <w:bidi w:val="0"/>
        <w:adjustRightInd/>
        <w:snapToGrid/>
        <w:spacing w:before="0" w:beforeAutospacing="0" w:after="0" w:afterAutospacing="0" w:line="560" w:lineRule="exact"/>
        <w:ind w:left="0" w:leftChars="0" w:firstLine="643" w:firstLineChars="200"/>
        <w:jc w:val="both"/>
        <w:textAlignment w:val="auto"/>
        <w:outlineLvl w:val="2"/>
        <w:rPr>
          <w:rFonts w:hint="eastAsia" w:ascii="楷体_GB2312" w:hAnsi="楷体_GB2312" w:eastAsia="楷体_GB2312" w:cs="楷体_GB2312"/>
          <w:b w:val="0"/>
          <w:bCs w:val="0"/>
          <w:kern w:val="2"/>
          <w:sz w:val="32"/>
          <w:szCs w:val="32"/>
          <w:highlight w:val="none"/>
          <w:lang w:val="en-US" w:eastAsia="zh-CN" w:bidi="ar-SA"/>
        </w:rPr>
      </w:pPr>
      <w:r>
        <w:rPr>
          <w:rFonts w:hint="eastAsia" w:ascii="Times New Roman" w:hAnsi="Times New Roman" w:eastAsia="仿宋_GB2312" w:cs="仿宋_GB2312"/>
          <w:b/>
          <w:bCs/>
          <w:kern w:val="2"/>
          <w:sz w:val="32"/>
          <w:szCs w:val="32"/>
          <w:highlight w:val="none"/>
          <w:lang w:val="en-US" w:eastAsia="zh-CN" w:bidi="ar-SA"/>
        </w:rPr>
        <w:t>推进生态环境监管数智化转型。建设现代化生态环境治理体系，</w:t>
      </w:r>
      <w:r>
        <w:rPr>
          <w:rFonts w:hint="eastAsia" w:ascii="Times New Roman" w:hAnsi="Times New Roman" w:eastAsia="仿宋_GB2312" w:cs="仿宋_GB2312"/>
          <w:b w:val="0"/>
          <w:bCs w:val="0"/>
          <w:kern w:val="2"/>
          <w:sz w:val="32"/>
          <w:szCs w:val="32"/>
          <w:highlight w:val="none"/>
          <w:lang w:val="en-US" w:eastAsia="zh-CN" w:bidi="ar-SA"/>
        </w:rPr>
        <w:t>深化智慧黄石（一期）智慧环保系统建设，利用AI技术推进卫星遥感、移动监测车、无人机等数据融合，开展中心城区空气微站建设，推进水质在线监测和数据智能分析。开发面向公众的AI环境质量智能查询服务应用。</w:t>
      </w:r>
      <w:r>
        <w:rPr>
          <w:rFonts w:hint="eastAsia" w:ascii="Times New Roman" w:hAnsi="Times New Roman" w:eastAsia="仿宋_GB2312" w:cs="仿宋_GB2312"/>
          <w:b/>
          <w:bCs/>
          <w:kern w:val="2"/>
          <w:sz w:val="32"/>
          <w:szCs w:val="32"/>
          <w:highlight w:val="none"/>
          <w:lang w:val="en-US" w:eastAsia="zh-CN" w:bidi="ar-SA"/>
        </w:rPr>
        <w:t>大力推广非现场执法，</w:t>
      </w:r>
      <w:r>
        <w:rPr>
          <w:rFonts w:hint="eastAsia" w:ascii="Times New Roman" w:hAnsi="Times New Roman" w:eastAsia="仿宋_GB2312" w:cs="仿宋_GB2312"/>
          <w:b w:val="0"/>
          <w:bCs w:val="0"/>
          <w:kern w:val="2"/>
          <w:sz w:val="32"/>
          <w:szCs w:val="32"/>
          <w:highlight w:val="none"/>
          <w:lang w:val="en-US" w:eastAsia="zh-CN" w:bidi="ar-SA"/>
        </w:rPr>
        <w:t>深化无人机在环境监测监管方面的应用，加强企业治污设施用电异常、排污数据超标等场景自动预警监管。到2030年，基本建成全域感知的天空地一体化智能监测网络，AI模型成为环境质量预测、污染溯源和风险评估的核心工具。</w:t>
      </w:r>
      <w:r>
        <w:rPr>
          <w:rFonts w:hint="eastAsia" w:ascii="楷体_GB2312" w:hAnsi="楷体_GB2312" w:eastAsia="楷体_GB2312" w:cs="楷体_GB2312"/>
          <w:b w:val="0"/>
          <w:bCs w:val="0"/>
          <w:kern w:val="2"/>
          <w:sz w:val="32"/>
          <w:szCs w:val="32"/>
          <w:highlight w:val="none"/>
          <w:lang w:val="en-US" w:eastAsia="zh-CN" w:bidi="ar-SA"/>
        </w:rPr>
        <w:t>（责任单位：市生态环境局）</w:t>
      </w:r>
    </w:p>
    <w:p w14:paraId="594F74AE">
      <w:pPr>
        <w:keepNext w:val="0"/>
        <w:keepLines w:val="0"/>
        <w:pageBreakBefore w:val="0"/>
        <w:widowControl/>
        <w:numPr>
          <w:ilvl w:val="0"/>
          <w:numId w:val="2"/>
        </w:numPr>
        <w:suppressLineNumbers w:val="0"/>
        <w:kinsoku/>
        <w:wordWrap/>
        <w:overflowPunct/>
        <w:topLinePunct w:val="0"/>
        <w:autoSpaceDE/>
        <w:autoSpaceDN/>
        <w:bidi w:val="0"/>
        <w:adjustRightInd/>
        <w:snapToGrid/>
        <w:spacing w:before="0" w:beforeAutospacing="0" w:after="0" w:afterAutospacing="0" w:line="560" w:lineRule="exact"/>
        <w:ind w:left="0" w:leftChars="0" w:firstLine="643" w:firstLineChars="200"/>
        <w:jc w:val="both"/>
        <w:textAlignment w:val="auto"/>
        <w:outlineLvl w:val="2"/>
        <w:rPr>
          <w:rFonts w:hint="eastAsia" w:ascii="楷体_GB2312" w:hAnsi="楷体_GB2312" w:eastAsia="楷体_GB2312" w:cs="楷体_GB2312"/>
          <w:b w:val="0"/>
          <w:bCs w:val="0"/>
          <w:kern w:val="2"/>
          <w:sz w:val="32"/>
          <w:szCs w:val="32"/>
          <w:highlight w:val="none"/>
          <w:lang w:val="en-US" w:eastAsia="zh-CN" w:bidi="ar-SA"/>
        </w:rPr>
      </w:pPr>
      <w:r>
        <w:rPr>
          <w:rFonts w:hint="eastAsia" w:ascii="Times New Roman" w:hAnsi="Times New Roman" w:eastAsia="仿宋_GB2312" w:cs="仿宋_GB2312"/>
          <w:b/>
          <w:bCs/>
          <w:kern w:val="2"/>
          <w:sz w:val="32"/>
          <w:szCs w:val="32"/>
          <w:highlight w:val="none"/>
          <w:lang w:val="en-US" w:eastAsia="zh-CN" w:bidi="ar-SA"/>
        </w:rPr>
        <w:t>强化科技创新赋能。实施高能级科技平台建设工程，</w:t>
      </w:r>
      <w:r>
        <w:rPr>
          <w:rFonts w:hint="eastAsia" w:ascii="Times New Roman" w:hAnsi="Times New Roman" w:eastAsia="仿宋_GB2312" w:cs="仿宋_GB2312"/>
          <w:b w:val="0"/>
          <w:bCs w:val="0"/>
          <w:kern w:val="2"/>
          <w:sz w:val="32"/>
          <w:szCs w:val="32"/>
          <w:highlight w:val="none"/>
          <w:lang w:val="en-US" w:eastAsia="zh-CN" w:bidi="ar-SA"/>
        </w:rPr>
        <w:t>加快筹建黄石实验室，建强用好环境污染矿区控制与修复湖北省重点实验室等相关科创平台。</w:t>
      </w:r>
      <w:r>
        <w:rPr>
          <w:rFonts w:hint="eastAsia" w:ascii="Times New Roman" w:hAnsi="Times New Roman" w:eastAsia="仿宋_GB2312" w:cs="仿宋_GB2312"/>
          <w:b/>
          <w:bCs/>
          <w:kern w:val="2"/>
          <w:sz w:val="32"/>
          <w:szCs w:val="32"/>
          <w:highlight w:val="none"/>
          <w:lang w:val="en-US" w:eastAsia="zh-CN" w:bidi="ar-SA"/>
        </w:rPr>
        <w:t>加强关键核心技术攻关</w:t>
      </w:r>
      <w:r>
        <w:rPr>
          <w:rFonts w:hint="eastAsia" w:ascii="Times New Roman" w:hAnsi="Times New Roman" w:eastAsia="仿宋_GB2312" w:cs="仿宋_GB2312"/>
          <w:b w:val="0"/>
          <w:bCs w:val="0"/>
          <w:kern w:val="2"/>
          <w:sz w:val="32"/>
          <w:szCs w:val="32"/>
          <w:highlight w:val="none"/>
          <w:lang w:val="en-US" w:eastAsia="zh-CN" w:bidi="ar-SA"/>
        </w:rPr>
        <w:t>，推动湖北理工学院、高品质特殊钢全国重点实验室等高等院校</w:t>
      </w:r>
      <w:r>
        <w:rPr>
          <w:rFonts w:hint="default" w:ascii="Times New Roman" w:hAnsi="Times New Roman" w:eastAsia="仿宋_GB2312" w:cs="仿宋_GB2312"/>
          <w:b w:val="0"/>
          <w:bCs w:val="0"/>
          <w:kern w:val="2"/>
          <w:sz w:val="32"/>
          <w:szCs w:val="32"/>
          <w:highlight w:val="none"/>
          <w:lang w:val="en-US" w:eastAsia="zh-CN" w:bidi="ar-SA"/>
        </w:rPr>
        <w:t>、国家级科研平台</w:t>
      </w:r>
      <w:r>
        <w:rPr>
          <w:rFonts w:hint="eastAsia" w:ascii="Times New Roman" w:hAnsi="Times New Roman" w:eastAsia="仿宋_GB2312" w:cs="仿宋_GB2312"/>
          <w:b w:val="0"/>
          <w:bCs w:val="0"/>
          <w:kern w:val="2"/>
          <w:sz w:val="32"/>
          <w:szCs w:val="32"/>
          <w:highlight w:val="none"/>
          <w:lang w:val="en-US" w:eastAsia="zh-CN" w:bidi="ar-SA"/>
        </w:rPr>
        <w:t>开展</w:t>
      </w:r>
      <w:r>
        <w:rPr>
          <w:rFonts w:hint="default" w:ascii="Times New Roman" w:hAnsi="Times New Roman" w:eastAsia="仿宋_GB2312" w:cs="仿宋_GB2312"/>
          <w:b w:val="0"/>
          <w:bCs w:val="0"/>
          <w:kern w:val="2"/>
          <w:sz w:val="32"/>
          <w:szCs w:val="32"/>
          <w:highlight w:val="none"/>
          <w:lang w:val="en-US" w:eastAsia="zh-CN" w:bidi="ar-SA"/>
        </w:rPr>
        <w:t>产学研深度合作</w:t>
      </w:r>
      <w:r>
        <w:rPr>
          <w:rFonts w:hint="eastAsia" w:ascii="Times New Roman" w:hAnsi="Times New Roman" w:eastAsia="仿宋_GB2312" w:cs="仿宋_GB2312"/>
          <w:b w:val="0"/>
          <w:bCs w:val="0"/>
          <w:kern w:val="2"/>
          <w:sz w:val="32"/>
          <w:szCs w:val="32"/>
          <w:highlight w:val="none"/>
          <w:lang w:val="en-US" w:eastAsia="zh-CN" w:bidi="ar-SA"/>
        </w:rPr>
        <w:t>，重点开展减污降碳协同、跨介质多污染物协同治理等关键技术研究。</w:t>
      </w:r>
      <w:r>
        <w:rPr>
          <w:rFonts w:hint="eastAsia" w:ascii="Times New Roman" w:hAnsi="Times New Roman" w:eastAsia="仿宋_GB2312" w:cs="仿宋_GB2312"/>
          <w:b/>
          <w:bCs/>
          <w:kern w:val="2"/>
          <w:sz w:val="32"/>
          <w:szCs w:val="32"/>
          <w:highlight w:val="none"/>
          <w:lang w:val="en-US" w:eastAsia="zh-CN" w:bidi="ar-SA"/>
        </w:rPr>
        <w:t>强化技术成果转移转化，</w:t>
      </w:r>
      <w:r>
        <w:rPr>
          <w:rFonts w:hint="eastAsia" w:ascii="Times New Roman" w:hAnsi="Times New Roman" w:eastAsia="仿宋_GB2312" w:cs="仿宋_GB2312"/>
          <w:b w:val="0"/>
          <w:bCs w:val="0"/>
          <w:kern w:val="2"/>
          <w:sz w:val="32"/>
          <w:szCs w:val="32"/>
          <w:highlight w:val="none"/>
          <w:lang w:val="en-US" w:eastAsia="zh-CN" w:bidi="ar-SA"/>
        </w:rPr>
        <w:t>实施科技型企业“两转化”行动，引导和推动具备条件的龙头企业牵头组建创新联合体，引入孵化绿色技术创新项目。</w:t>
      </w:r>
      <w:r>
        <w:rPr>
          <w:rFonts w:hint="eastAsia" w:ascii="Times New Roman" w:hAnsi="Times New Roman" w:eastAsia="仿宋_GB2312" w:cs="仿宋_GB2312"/>
          <w:b/>
          <w:bCs/>
          <w:kern w:val="2"/>
          <w:sz w:val="32"/>
          <w:szCs w:val="32"/>
          <w:highlight w:val="none"/>
          <w:lang w:val="en-US" w:eastAsia="zh-CN" w:bidi="ar-SA"/>
        </w:rPr>
        <w:t>深入开展“才聚东楚·点石成金”行动，</w:t>
      </w:r>
      <w:r>
        <w:rPr>
          <w:rFonts w:hint="eastAsia" w:ascii="Times New Roman" w:hAnsi="Times New Roman" w:eastAsia="仿宋_GB2312" w:cs="仿宋_GB2312"/>
          <w:b w:val="0"/>
          <w:bCs w:val="0"/>
          <w:kern w:val="2"/>
          <w:sz w:val="32"/>
          <w:szCs w:val="32"/>
          <w:highlight w:val="none"/>
          <w:lang w:val="en-US" w:eastAsia="zh-CN" w:bidi="ar-SA"/>
        </w:rPr>
        <w:t>健全柔性引才和校企共享机制，推进黄石工匠、高技能人才培养引进，建设区域创新人才高地。</w:t>
      </w:r>
      <w:r>
        <w:rPr>
          <w:rFonts w:hint="eastAsia" w:ascii="楷体_GB2312" w:hAnsi="楷体_GB2312" w:eastAsia="楷体_GB2312" w:cs="楷体_GB2312"/>
          <w:b w:val="0"/>
          <w:bCs w:val="0"/>
          <w:kern w:val="2"/>
          <w:sz w:val="32"/>
          <w:szCs w:val="32"/>
          <w:highlight w:val="none"/>
          <w:lang w:val="en-US" w:eastAsia="zh-CN" w:bidi="ar-SA"/>
        </w:rPr>
        <w:t>（责任单位：市科技局、市生态环境局、市人社局）</w:t>
      </w:r>
    </w:p>
    <w:p w14:paraId="5962B22C">
      <w:pPr>
        <w:keepNext w:val="0"/>
        <w:keepLines w:val="0"/>
        <w:pageBreakBefore w:val="0"/>
        <w:kinsoku/>
        <w:wordWrap/>
        <w:overflowPunct/>
        <w:topLinePunct w:val="0"/>
        <w:autoSpaceDE/>
        <w:autoSpaceDN/>
        <w:bidi w:val="0"/>
        <w:spacing w:line="560" w:lineRule="exact"/>
        <w:ind w:firstLine="640" w:firstLineChars="200"/>
        <w:jc w:val="both"/>
        <w:textAlignment w:val="auto"/>
        <w:outlineLvl w:val="1"/>
        <w:rPr>
          <w:rFonts w:ascii="Times New Roman" w:hAnsi="Times New Roman" w:eastAsia="黑体" w:cs="黑体"/>
          <w:b w:val="0"/>
          <w:bCs w:val="0"/>
          <w:sz w:val="32"/>
          <w:szCs w:val="32"/>
          <w:highlight w:val="none"/>
        </w:rPr>
      </w:pPr>
      <w:r>
        <w:rPr>
          <w:rFonts w:hint="eastAsia" w:ascii="Times New Roman" w:hAnsi="Times New Roman" w:eastAsia="黑体" w:cs="黑体"/>
          <w:b w:val="0"/>
          <w:bCs w:val="0"/>
          <w:sz w:val="32"/>
          <w:szCs w:val="32"/>
          <w:highlight w:val="none"/>
          <w:lang w:val="en-US" w:eastAsia="zh-CN"/>
        </w:rPr>
        <w:t>三</w:t>
      </w:r>
      <w:r>
        <w:rPr>
          <w:rFonts w:hint="eastAsia" w:ascii="Times New Roman" w:hAnsi="Times New Roman" w:eastAsia="黑体" w:cs="黑体"/>
          <w:b w:val="0"/>
          <w:bCs w:val="0"/>
          <w:sz w:val="32"/>
          <w:szCs w:val="32"/>
          <w:highlight w:val="none"/>
        </w:rPr>
        <w:t>、组织实施</w:t>
      </w:r>
    </w:p>
    <w:p w14:paraId="77DFBA6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坚持和加强党对美丽城市建设的全面领导，由市人民政府作为美丽城市建设的组织主体，发挥统筹协调和指导督促作用，健全工作责任体系和推进机制，</w:t>
      </w:r>
      <w:r>
        <w:rPr>
          <w:rFonts w:hint="eastAsia" w:ascii="仿宋_GB2312" w:hAnsi="仿宋_GB2312" w:eastAsia="仿宋_GB2312" w:cs="仿宋_GB2312"/>
          <w:sz w:val="32"/>
          <w:szCs w:val="32"/>
          <w:highlight w:val="none"/>
          <w:lang w:eastAsia="zh-CN"/>
        </w:rPr>
        <w:t>定期调度工作进展。</w:t>
      </w:r>
      <w:r>
        <w:rPr>
          <w:rFonts w:hint="eastAsia" w:ascii="仿宋_GB2312" w:hAnsi="仿宋_GB2312" w:eastAsia="仿宋_GB2312" w:cs="仿宋_GB2312"/>
          <w:sz w:val="32"/>
          <w:szCs w:val="32"/>
          <w:highlight w:val="none"/>
          <w:lang w:val="en-US" w:eastAsia="zh-CN"/>
        </w:rPr>
        <w:t>市直有关部门（单位）根据职责分工，加强协调联动，做好各项工作落实。市生态环境局</w:t>
      </w:r>
      <w:r>
        <w:rPr>
          <w:rFonts w:hint="eastAsia" w:ascii="仿宋_GB2312" w:hAnsi="仿宋_GB2312" w:eastAsia="仿宋_GB2312" w:cs="仿宋_GB2312"/>
          <w:sz w:val="32"/>
          <w:szCs w:val="32"/>
          <w:highlight w:val="none"/>
          <w:lang w:eastAsia="zh-CN"/>
        </w:rPr>
        <w:t>协调相关部门开展</w:t>
      </w:r>
      <w:r>
        <w:rPr>
          <w:rFonts w:hint="eastAsia" w:ascii="仿宋_GB2312" w:hAnsi="仿宋_GB2312" w:eastAsia="仿宋_GB2312" w:cs="仿宋_GB2312"/>
          <w:sz w:val="32"/>
          <w:szCs w:val="32"/>
          <w:highlight w:val="none"/>
          <w:lang w:val="en-US" w:eastAsia="zh-CN"/>
        </w:rPr>
        <w:t>美丽城市工作总结和典型案例提炼，实施美丽城市建设年度自评估，及时向省生态环境厅报送。强化美丽城市建设资金保障，探索美丽城市建设项目投融资模式创新，统筹财政资金、金融资本、社会资本，构建多元投入机制。加大</w:t>
      </w:r>
      <w:r>
        <w:rPr>
          <w:rFonts w:hint="eastAsia" w:ascii="仿宋_GB2312" w:hAnsi="仿宋_GB2312" w:eastAsia="仿宋_GB2312" w:cs="仿宋_GB2312"/>
          <w:sz w:val="32"/>
          <w:szCs w:val="32"/>
          <w:highlight w:val="none"/>
          <w:lang w:eastAsia="zh-CN"/>
        </w:rPr>
        <w:t>宣传推广</w:t>
      </w:r>
      <w:r>
        <w:rPr>
          <w:rFonts w:hint="eastAsia" w:ascii="仿宋_GB2312" w:hAnsi="仿宋_GB2312" w:eastAsia="仿宋_GB2312" w:cs="仿宋_GB2312"/>
          <w:sz w:val="32"/>
          <w:szCs w:val="32"/>
          <w:highlight w:val="none"/>
          <w:lang w:val="en-US" w:eastAsia="zh-CN"/>
        </w:rPr>
        <w:t>力度</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lang w:val="en-US" w:eastAsia="zh-CN"/>
        </w:rPr>
        <w:t>利用全国生态日等，用好“美丽中国，我是行动者”等活动品牌，深化开展生态环境宣传教育科普活动，</w:t>
      </w:r>
      <w:r>
        <w:rPr>
          <w:rFonts w:hint="eastAsia" w:ascii="仿宋_GB2312" w:hAnsi="仿宋_GB2312" w:eastAsia="仿宋_GB2312" w:cs="仿宋_GB2312"/>
          <w:sz w:val="32"/>
          <w:szCs w:val="32"/>
          <w:highlight w:val="none"/>
          <w:lang w:eastAsia="zh-CN"/>
        </w:rPr>
        <w:t>营造共建共享</w:t>
      </w:r>
      <w:r>
        <w:rPr>
          <w:rFonts w:hint="eastAsia" w:ascii="仿宋_GB2312" w:hAnsi="仿宋_GB2312" w:eastAsia="仿宋_GB2312" w:cs="仿宋_GB2312"/>
          <w:sz w:val="32"/>
          <w:szCs w:val="32"/>
          <w:highlight w:val="none"/>
          <w:lang w:val="en-US" w:eastAsia="zh-CN"/>
        </w:rPr>
        <w:t>良好氛围。</w:t>
      </w:r>
    </w:p>
    <w:p w14:paraId="4EF49D62">
      <w:pPr>
        <w:rPr>
          <w:rFonts w:hint="eastAsia"/>
          <w:b w:val="0"/>
          <w:bCs w:val="0"/>
          <w:highlight w:val="none"/>
          <w:lang w:val="en-US" w:eastAsia="zh-CN"/>
        </w:rPr>
        <w:sectPr>
          <w:footerReference r:id="rId3" w:type="default"/>
          <w:pgSz w:w="11906" w:h="16838"/>
          <w:pgMar w:top="1440" w:right="1587" w:bottom="1440" w:left="1587" w:header="851" w:footer="992" w:gutter="0"/>
          <w:pgNumType w:fmt="decimal"/>
          <w:cols w:space="720" w:num="1"/>
          <w:docGrid w:type="lines" w:linePitch="312" w:charSpace="0"/>
        </w:sectPr>
      </w:pPr>
    </w:p>
    <w:p w14:paraId="24E934BC">
      <w:pPr>
        <w:jc w:val="both"/>
        <w:rPr>
          <w:rFonts w:ascii="Times New Roman" w:hAnsi="Times New Roman" w:eastAsia="黑体" w:cs="黑体"/>
          <w:b w:val="0"/>
          <w:bCs w:val="0"/>
          <w:sz w:val="32"/>
          <w:szCs w:val="32"/>
          <w:highlight w:val="none"/>
        </w:rPr>
      </w:pPr>
      <w:r>
        <w:rPr>
          <w:rFonts w:hint="eastAsia" w:ascii="Times New Roman" w:hAnsi="Times New Roman" w:eastAsia="黑体" w:cs="黑体"/>
          <w:b w:val="0"/>
          <w:bCs w:val="0"/>
          <w:sz w:val="32"/>
          <w:szCs w:val="32"/>
          <w:highlight w:val="none"/>
        </w:rPr>
        <w:t>附1</w:t>
      </w:r>
    </w:p>
    <w:p w14:paraId="2F3E8200">
      <w:pPr>
        <w:keepNext w:val="0"/>
        <w:keepLines w:val="0"/>
        <w:pageBreakBefore w:val="0"/>
        <w:widowControl w:val="0"/>
        <w:kinsoku/>
        <w:wordWrap/>
        <w:overflowPunct/>
        <w:topLinePunct w:val="0"/>
        <w:autoSpaceDE/>
        <w:autoSpaceDN/>
        <w:bidi w:val="0"/>
        <w:adjustRightInd/>
        <w:snapToGrid/>
        <w:spacing w:before="157" w:beforeLines="50" w:after="157" w:afterLines="50" w:line="560" w:lineRule="exact"/>
        <w:jc w:val="center"/>
        <w:textAlignment w:val="auto"/>
        <w:rPr>
          <w:rFonts w:hint="eastAsia" w:ascii="Times New Roman" w:hAnsi="Times New Roman" w:eastAsia="方正小标宋简体" w:cs="Times New Roman"/>
          <w:b w:val="0"/>
          <w:bCs w:val="0"/>
          <w:highlight w:val="none"/>
          <w:lang w:eastAsia="zh-CN"/>
        </w:rPr>
      </w:pPr>
      <w:r>
        <w:rPr>
          <w:rFonts w:hint="eastAsia" w:ascii="Times New Roman" w:hAnsi="Times New Roman" w:eastAsia="方正小标宋简体" w:cs="方正小标宋简体"/>
          <w:b w:val="0"/>
          <w:bCs w:val="0"/>
          <w:sz w:val="44"/>
          <w:szCs w:val="44"/>
          <w:highlight w:val="none"/>
          <w:lang w:val="en-US" w:eastAsia="zh-CN"/>
        </w:rPr>
        <w:t>黄石市</w:t>
      </w:r>
      <w:r>
        <w:rPr>
          <w:rFonts w:hint="eastAsia" w:ascii="Times New Roman" w:hAnsi="Times New Roman" w:eastAsia="方正小标宋简体" w:cs="方正小标宋简体"/>
          <w:b w:val="0"/>
          <w:bCs w:val="0"/>
          <w:sz w:val="44"/>
          <w:szCs w:val="44"/>
          <w:highlight w:val="none"/>
        </w:rPr>
        <w:t>美丽城市建设指标体系</w:t>
      </w:r>
    </w:p>
    <w:tbl>
      <w:tblPr>
        <w:tblStyle w:val="13"/>
        <w:tblW w:w="499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39"/>
        <w:gridCol w:w="890"/>
        <w:gridCol w:w="4414"/>
        <w:gridCol w:w="3847"/>
        <w:gridCol w:w="1327"/>
        <w:gridCol w:w="2948"/>
      </w:tblGrid>
      <w:tr w14:paraId="3900F6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7" w:hRule="exact"/>
          <w:tblHeader/>
          <w:jc w:val="center"/>
        </w:trPr>
        <w:tc>
          <w:tcPr>
            <w:tcW w:w="261" w:type="pct"/>
            <w:vAlign w:val="center"/>
          </w:tcPr>
          <w:p w14:paraId="32E0CF44">
            <w:pPr>
              <w:keepNext w:val="0"/>
              <w:keepLines w:val="0"/>
              <w:pageBreakBefore w:val="0"/>
              <w:widowControl w:val="0"/>
              <w:kinsoku/>
              <w:wordWrap/>
              <w:overflowPunct/>
              <w:topLinePunct w:val="0"/>
              <w:autoSpaceDE/>
              <w:autoSpaceDN/>
              <w:bidi w:val="0"/>
              <w:spacing w:line="240" w:lineRule="auto"/>
              <w:ind w:left="0" w:firstLine="0"/>
              <w:jc w:val="center"/>
              <w:textAlignment w:val="auto"/>
              <w:rPr>
                <w:rFonts w:ascii="Times New Roman" w:hAnsi="Times New Roman" w:eastAsia="仿宋_GB2312" w:cs="黑体"/>
                <w:b/>
                <w:bCs/>
                <w:sz w:val="24"/>
                <w:szCs w:val="24"/>
                <w:highlight w:val="none"/>
              </w:rPr>
            </w:pPr>
            <w:r>
              <w:rPr>
                <w:rFonts w:hint="eastAsia" w:ascii="Times New Roman" w:hAnsi="Times New Roman" w:eastAsia="仿宋_GB2312" w:cs="黑体"/>
                <w:b/>
                <w:bCs/>
                <w:sz w:val="24"/>
                <w:szCs w:val="24"/>
                <w:highlight w:val="none"/>
              </w:rPr>
              <w:t>维度</w:t>
            </w:r>
          </w:p>
        </w:tc>
        <w:tc>
          <w:tcPr>
            <w:tcW w:w="314" w:type="pct"/>
            <w:vAlign w:val="center"/>
          </w:tcPr>
          <w:p w14:paraId="0599166B">
            <w:pPr>
              <w:keepNext w:val="0"/>
              <w:keepLines w:val="0"/>
              <w:pageBreakBefore w:val="0"/>
              <w:widowControl w:val="0"/>
              <w:kinsoku/>
              <w:wordWrap/>
              <w:overflowPunct/>
              <w:topLinePunct w:val="0"/>
              <w:autoSpaceDE/>
              <w:autoSpaceDN/>
              <w:bidi w:val="0"/>
              <w:spacing w:line="240" w:lineRule="auto"/>
              <w:ind w:left="0" w:firstLine="0"/>
              <w:jc w:val="center"/>
              <w:textAlignment w:val="auto"/>
              <w:rPr>
                <w:rFonts w:hint="eastAsia" w:ascii="Times New Roman" w:hAnsi="Times New Roman" w:eastAsia="仿宋_GB2312" w:cs="黑体"/>
                <w:b/>
                <w:bCs/>
                <w:sz w:val="24"/>
                <w:szCs w:val="24"/>
                <w:highlight w:val="none"/>
              </w:rPr>
            </w:pPr>
            <w:r>
              <w:rPr>
                <w:rFonts w:hint="eastAsia" w:ascii="Times New Roman" w:hAnsi="Times New Roman" w:eastAsia="仿宋_GB2312" w:cs="黑体"/>
                <w:b/>
                <w:bCs/>
                <w:sz w:val="24"/>
                <w:szCs w:val="24"/>
                <w:highlight w:val="none"/>
              </w:rPr>
              <w:t>序号</w:t>
            </w:r>
          </w:p>
        </w:tc>
        <w:tc>
          <w:tcPr>
            <w:tcW w:w="1557" w:type="pct"/>
            <w:vAlign w:val="center"/>
          </w:tcPr>
          <w:p w14:paraId="4EF7ED0C">
            <w:pPr>
              <w:keepNext w:val="0"/>
              <w:keepLines w:val="0"/>
              <w:pageBreakBefore w:val="0"/>
              <w:widowControl w:val="0"/>
              <w:kinsoku/>
              <w:wordWrap/>
              <w:overflowPunct/>
              <w:topLinePunct w:val="0"/>
              <w:autoSpaceDE/>
              <w:autoSpaceDN/>
              <w:bidi w:val="0"/>
              <w:spacing w:line="240" w:lineRule="auto"/>
              <w:ind w:left="0" w:firstLine="0"/>
              <w:jc w:val="center"/>
              <w:textAlignment w:val="auto"/>
              <w:rPr>
                <w:rFonts w:ascii="Times New Roman" w:hAnsi="Times New Roman" w:eastAsia="仿宋_GB2312" w:cs="黑体"/>
                <w:b/>
                <w:bCs/>
                <w:sz w:val="24"/>
                <w:szCs w:val="24"/>
                <w:highlight w:val="none"/>
              </w:rPr>
            </w:pPr>
            <w:r>
              <w:rPr>
                <w:rFonts w:hint="eastAsia" w:ascii="Times New Roman" w:hAnsi="Times New Roman" w:eastAsia="仿宋_GB2312" w:cs="黑体"/>
                <w:b/>
                <w:bCs/>
                <w:sz w:val="24"/>
                <w:szCs w:val="24"/>
                <w:highlight w:val="none"/>
              </w:rPr>
              <w:t>指标</w:t>
            </w:r>
          </w:p>
        </w:tc>
        <w:tc>
          <w:tcPr>
            <w:tcW w:w="1357" w:type="pct"/>
            <w:vAlign w:val="center"/>
          </w:tcPr>
          <w:p w14:paraId="79BCF73D">
            <w:pPr>
              <w:keepNext w:val="0"/>
              <w:keepLines w:val="0"/>
              <w:pageBreakBefore w:val="0"/>
              <w:widowControl w:val="0"/>
              <w:kinsoku/>
              <w:wordWrap/>
              <w:overflowPunct/>
              <w:topLinePunct w:val="0"/>
              <w:autoSpaceDE/>
              <w:autoSpaceDN/>
              <w:bidi w:val="0"/>
              <w:spacing w:line="240" w:lineRule="auto"/>
              <w:ind w:left="0" w:firstLine="0"/>
              <w:jc w:val="center"/>
              <w:textAlignment w:val="auto"/>
              <w:rPr>
                <w:rFonts w:ascii="Times New Roman" w:hAnsi="Times New Roman" w:eastAsia="仿宋_GB2312" w:cs="黑体"/>
                <w:b/>
                <w:bCs/>
                <w:sz w:val="24"/>
                <w:szCs w:val="24"/>
                <w:highlight w:val="none"/>
              </w:rPr>
            </w:pPr>
            <w:r>
              <w:rPr>
                <w:rFonts w:hint="eastAsia" w:ascii="Times New Roman" w:hAnsi="Times New Roman" w:eastAsia="仿宋_GB2312" w:cs="黑体"/>
                <w:b/>
                <w:bCs/>
                <w:sz w:val="24"/>
                <w:szCs w:val="24"/>
                <w:highlight w:val="none"/>
              </w:rPr>
              <w:t>2027年目标值</w:t>
            </w:r>
          </w:p>
        </w:tc>
        <w:tc>
          <w:tcPr>
            <w:tcW w:w="468" w:type="pct"/>
            <w:vAlign w:val="center"/>
          </w:tcPr>
          <w:p w14:paraId="68EA6359">
            <w:pPr>
              <w:keepNext w:val="0"/>
              <w:keepLines w:val="0"/>
              <w:pageBreakBefore w:val="0"/>
              <w:widowControl w:val="0"/>
              <w:kinsoku/>
              <w:wordWrap/>
              <w:overflowPunct/>
              <w:topLinePunct w:val="0"/>
              <w:autoSpaceDE/>
              <w:autoSpaceDN/>
              <w:bidi w:val="0"/>
              <w:spacing w:line="240" w:lineRule="auto"/>
              <w:ind w:left="0" w:firstLine="0"/>
              <w:jc w:val="center"/>
              <w:textAlignment w:val="auto"/>
              <w:rPr>
                <w:rFonts w:ascii="Times New Roman" w:hAnsi="Times New Roman" w:eastAsia="仿宋_GB2312" w:cs="黑体"/>
                <w:b/>
                <w:bCs/>
                <w:sz w:val="24"/>
                <w:szCs w:val="24"/>
                <w:highlight w:val="none"/>
              </w:rPr>
            </w:pPr>
            <w:r>
              <w:rPr>
                <w:rFonts w:hint="eastAsia" w:ascii="Times New Roman" w:hAnsi="Times New Roman" w:eastAsia="仿宋_GB2312" w:cs="黑体"/>
                <w:b/>
                <w:bCs/>
                <w:sz w:val="24"/>
                <w:szCs w:val="24"/>
                <w:highlight w:val="none"/>
              </w:rPr>
              <w:t>适用范围</w:t>
            </w:r>
          </w:p>
        </w:tc>
        <w:tc>
          <w:tcPr>
            <w:tcW w:w="1040" w:type="pct"/>
            <w:vAlign w:val="center"/>
          </w:tcPr>
          <w:p w14:paraId="440A1CC9">
            <w:pPr>
              <w:keepNext w:val="0"/>
              <w:keepLines w:val="0"/>
              <w:pageBreakBefore w:val="0"/>
              <w:widowControl w:val="0"/>
              <w:kinsoku/>
              <w:wordWrap/>
              <w:overflowPunct/>
              <w:topLinePunct w:val="0"/>
              <w:autoSpaceDE/>
              <w:autoSpaceDN/>
              <w:bidi w:val="0"/>
              <w:spacing w:line="240" w:lineRule="auto"/>
              <w:ind w:left="0" w:firstLine="0"/>
              <w:jc w:val="center"/>
              <w:textAlignment w:val="auto"/>
              <w:rPr>
                <w:rFonts w:ascii="Times New Roman" w:hAnsi="Times New Roman" w:eastAsia="仿宋_GB2312" w:cs="黑体"/>
                <w:b/>
                <w:bCs/>
                <w:sz w:val="24"/>
                <w:szCs w:val="24"/>
                <w:highlight w:val="none"/>
              </w:rPr>
            </w:pPr>
            <w:r>
              <w:rPr>
                <w:rFonts w:hint="eastAsia" w:ascii="Times New Roman" w:hAnsi="Times New Roman" w:eastAsia="仿宋_GB2312" w:cs="黑体"/>
                <w:b/>
                <w:bCs/>
                <w:sz w:val="24"/>
                <w:szCs w:val="24"/>
                <w:highlight w:val="none"/>
              </w:rPr>
              <w:t>责任部门</w:t>
            </w:r>
          </w:p>
        </w:tc>
      </w:tr>
      <w:tr w14:paraId="05D598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4" w:hRule="exact"/>
          <w:jc w:val="center"/>
        </w:trPr>
        <w:tc>
          <w:tcPr>
            <w:tcW w:w="261" w:type="pct"/>
            <w:vMerge w:val="restart"/>
            <w:vAlign w:val="center"/>
          </w:tcPr>
          <w:p w14:paraId="39F78C56">
            <w:pPr>
              <w:keepNext w:val="0"/>
              <w:keepLines w:val="0"/>
              <w:pageBreakBefore w:val="0"/>
              <w:widowControl w:val="0"/>
              <w:kinsoku/>
              <w:wordWrap/>
              <w:overflowPunct/>
              <w:topLinePunct w:val="0"/>
              <w:autoSpaceDE/>
              <w:autoSpaceDN/>
              <w:bidi w:val="0"/>
              <w:spacing w:line="240" w:lineRule="auto"/>
              <w:ind w:left="0" w:firstLine="0"/>
              <w:jc w:val="center"/>
              <w:textAlignment w:val="auto"/>
              <w:rPr>
                <w:rFonts w:ascii="Times New Roman" w:hAnsi="Times New Roman" w:eastAsia="仿宋_GB2312" w:cs="仿宋_GB2312"/>
                <w:b w:val="0"/>
                <w:bCs w:val="0"/>
                <w:sz w:val="24"/>
                <w:szCs w:val="24"/>
                <w:highlight w:val="none"/>
              </w:rPr>
            </w:pPr>
            <w:r>
              <w:rPr>
                <w:rFonts w:hint="eastAsia" w:ascii="Times New Roman" w:hAnsi="Times New Roman" w:eastAsia="仿宋_GB2312" w:cs="仿宋_GB2312"/>
                <w:b w:val="0"/>
                <w:bCs w:val="0"/>
                <w:sz w:val="24"/>
                <w:szCs w:val="24"/>
                <w:highlight w:val="none"/>
              </w:rPr>
              <w:t>绿色</w:t>
            </w:r>
          </w:p>
          <w:p w14:paraId="147DEED9">
            <w:pPr>
              <w:keepNext w:val="0"/>
              <w:keepLines w:val="0"/>
              <w:pageBreakBefore w:val="0"/>
              <w:widowControl w:val="0"/>
              <w:kinsoku/>
              <w:wordWrap/>
              <w:overflowPunct/>
              <w:topLinePunct w:val="0"/>
              <w:autoSpaceDE/>
              <w:autoSpaceDN/>
              <w:bidi w:val="0"/>
              <w:spacing w:line="240" w:lineRule="auto"/>
              <w:ind w:left="0" w:firstLine="0"/>
              <w:jc w:val="center"/>
              <w:textAlignment w:val="auto"/>
              <w:rPr>
                <w:rFonts w:ascii="Times New Roman" w:hAnsi="Times New Roman" w:eastAsia="仿宋_GB2312" w:cs="仿宋_GB2312"/>
                <w:b w:val="0"/>
                <w:bCs w:val="0"/>
                <w:sz w:val="24"/>
                <w:szCs w:val="24"/>
                <w:highlight w:val="none"/>
              </w:rPr>
            </w:pPr>
            <w:r>
              <w:rPr>
                <w:rFonts w:hint="eastAsia" w:ascii="Times New Roman" w:hAnsi="Times New Roman" w:eastAsia="仿宋_GB2312" w:cs="仿宋_GB2312"/>
                <w:b w:val="0"/>
                <w:bCs w:val="0"/>
                <w:sz w:val="24"/>
                <w:szCs w:val="24"/>
                <w:highlight w:val="none"/>
              </w:rPr>
              <w:t>低碳</w:t>
            </w:r>
          </w:p>
        </w:tc>
        <w:tc>
          <w:tcPr>
            <w:tcW w:w="314" w:type="pct"/>
            <w:vAlign w:val="center"/>
          </w:tcPr>
          <w:p w14:paraId="440EC248">
            <w:pPr>
              <w:keepNext w:val="0"/>
              <w:keepLines w:val="0"/>
              <w:pageBreakBefore w:val="0"/>
              <w:widowControl w:val="0"/>
              <w:numPr>
                <w:ilvl w:val="0"/>
                <w:numId w:val="3"/>
              </w:numPr>
              <w:kinsoku/>
              <w:wordWrap/>
              <w:overflowPunct/>
              <w:topLinePunct w:val="0"/>
              <w:autoSpaceDE/>
              <w:autoSpaceDN/>
              <w:bidi w:val="0"/>
              <w:spacing w:line="240" w:lineRule="auto"/>
              <w:ind w:left="0" w:leftChars="0" w:firstLine="0" w:firstLineChars="0"/>
              <w:jc w:val="center"/>
              <w:textAlignment w:val="auto"/>
              <w:rPr>
                <w:rFonts w:hint="eastAsia" w:ascii="Times New Roman" w:hAnsi="Times New Roman" w:eastAsia="仿宋_GB2312" w:cs="仿宋_GB2312"/>
                <w:b w:val="0"/>
                <w:bCs w:val="0"/>
                <w:kern w:val="2"/>
                <w:sz w:val="24"/>
                <w:szCs w:val="24"/>
                <w:highlight w:val="none"/>
                <w:lang w:val="en-US" w:eastAsia="zh-CN" w:bidi="ar-SA"/>
              </w:rPr>
            </w:pPr>
          </w:p>
        </w:tc>
        <w:tc>
          <w:tcPr>
            <w:tcW w:w="1557" w:type="pct"/>
            <w:vAlign w:val="center"/>
          </w:tcPr>
          <w:p w14:paraId="38F22172">
            <w:pPr>
              <w:keepNext w:val="0"/>
              <w:keepLines w:val="0"/>
              <w:pageBreakBefore w:val="0"/>
              <w:widowControl w:val="0"/>
              <w:kinsoku/>
              <w:wordWrap/>
              <w:overflowPunct/>
              <w:topLinePunct w:val="0"/>
              <w:autoSpaceDE/>
              <w:autoSpaceDN/>
              <w:bidi w:val="0"/>
              <w:adjustRightInd w:val="0"/>
              <w:snapToGrid w:val="0"/>
              <w:spacing w:line="240" w:lineRule="auto"/>
              <w:ind w:left="0" w:firstLine="0"/>
              <w:jc w:val="both"/>
              <w:textAlignment w:val="auto"/>
              <w:rPr>
                <w:rFonts w:ascii="Times New Roman" w:hAnsi="Times New Roman" w:eastAsia="仿宋_GB2312" w:cs="仿宋_GB2312"/>
                <w:b w:val="0"/>
                <w:bCs w:val="0"/>
                <w:snapToGrid w:val="0"/>
                <w:kern w:val="0"/>
                <w:sz w:val="24"/>
                <w:szCs w:val="24"/>
                <w:highlight w:val="none"/>
              </w:rPr>
            </w:pPr>
            <w:r>
              <w:rPr>
                <w:rFonts w:hint="eastAsia" w:ascii="Times New Roman" w:hAnsi="Times New Roman" w:eastAsia="仿宋_GB2312" w:cs="仿宋_GB2312"/>
                <w:b w:val="0"/>
                <w:bCs w:val="0"/>
                <w:snapToGrid w:val="0"/>
                <w:kern w:val="0"/>
                <w:sz w:val="24"/>
                <w:szCs w:val="24"/>
                <w:highlight w:val="none"/>
              </w:rPr>
              <w:t>单位地区生产总值二氧化碳排放降低（%）</w:t>
            </w:r>
          </w:p>
        </w:tc>
        <w:tc>
          <w:tcPr>
            <w:tcW w:w="1357" w:type="pct"/>
            <w:vAlign w:val="center"/>
          </w:tcPr>
          <w:p w14:paraId="5DB51BC0">
            <w:pPr>
              <w:keepNext w:val="0"/>
              <w:keepLines w:val="0"/>
              <w:pageBreakBefore w:val="0"/>
              <w:widowControl w:val="0"/>
              <w:kinsoku/>
              <w:wordWrap/>
              <w:overflowPunct/>
              <w:topLinePunct w:val="0"/>
              <w:autoSpaceDE/>
              <w:autoSpaceDN/>
              <w:bidi w:val="0"/>
              <w:adjustRightInd w:val="0"/>
              <w:snapToGrid w:val="0"/>
              <w:spacing w:line="240" w:lineRule="auto"/>
              <w:ind w:left="0" w:firstLine="0"/>
              <w:jc w:val="center"/>
              <w:textAlignment w:val="auto"/>
              <w:rPr>
                <w:rFonts w:hint="default" w:ascii="Times New Roman" w:hAnsi="Times New Roman" w:eastAsia="仿宋_GB2312" w:cs="仿宋_GB2312"/>
                <w:b w:val="0"/>
                <w:bCs w:val="0"/>
                <w:snapToGrid w:val="0"/>
                <w:kern w:val="0"/>
                <w:sz w:val="24"/>
                <w:szCs w:val="24"/>
                <w:highlight w:val="none"/>
              </w:rPr>
            </w:pPr>
            <w:r>
              <w:rPr>
                <w:rFonts w:hint="eastAsia" w:ascii="Times New Roman" w:hAnsi="Times New Roman" w:eastAsia="仿宋_GB2312" w:cs="仿宋_GB2312"/>
                <w:b w:val="0"/>
                <w:bCs w:val="0"/>
                <w:snapToGrid w:val="0"/>
                <w:kern w:val="0"/>
                <w:sz w:val="24"/>
                <w:szCs w:val="24"/>
                <w:highlight w:val="none"/>
              </w:rPr>
              <w:t>完成省下达目标</w:t>
            </w:r>
            <w:r>
              <w:rPr>
                <w:rFonts w:hint="eastAsia" w:ascii="Times New Roman" w:hAnsi="Times New Roman" w:eastAsia="仿宋_GB2312" w:cs="仿宋_GB2312"/>
                <w:b w:val="0"/>
                <w:bCs w:val="0"/>
                <w:snapToGrid w:val="0"/>
                <w:kern w:val="0"/>
                <w:sz w:val="24"/>
                <w:szCs w:val="24"/>
                <w:highlight w:val="none"/>
                <w:lang w:eastAsia="zh-CN"/>
              </w:rPr>
              <w:t>（</w:t>
            </w:r>
            <w:r>
              <w:rPr>
                <w:rFonts w:hint="eastAsia" w:ascii="Times New Roman" w:hAnsi="Times New Roman" w:eastAsia="仿宋_GB2312" w:cs="仿宋_GB2312"/>
                <w:b w:val="0"/>
                <w:bCs w:val="0"/>
                <w:snapToGrid w:val="0"/>
                <w:kern w:val="0"/>
                <w:sz w:val="24"/>
                <w:szCs w:val="24"/>
                <w:highlight w:val="none"/>
                <w:lang w:val="en-US" w:eastAsia="zh-CN"/>
              </w:rPr>
              <w:t>高于全省平均水平</w:t>
            </w:r>
            <w:r>
              <w:rPr>
                <w:rFonts w:hint="eastAsia" w:ascii="Times New Roman" w:hAnsi="Times New Roman" w:eastAsia="仿宋_GB2312" w:cs="仿宋_GB2312"/>
                <w:b w:val="0"/>
                <w:bCs w:val="0"/>
                <w:snapToGrid w:val="0"/>
                <w:kern w:val="0"/>
                <w:sz w:val="24"/>
                <w:szCs w:val="24"/>
                <w:highlight w:val="none"/>
                <w:lang w:eastAsia="zh-CN"/>
              </w:rPr>
              <w:t>）</w:t>
            </w:r>
          </w:p>
        </w:tc>
        <w:tc>
          <w:tcPr>
            <w:tcW w:w="468" w:type="pct"/>
            <w:vAlign w:val="center"/>
          </w:tcPr>
          <w:p w14:paraId="3949669A">
            <w:pPr>
              <w:keepNext w:val="0"/>
              <w:keepLines w:val="0"/>
              <w:pageBreakBefore w:val="0"/>
              <w:widowControl w:val="0"/>
              <w:kinsoku/>
              <w:wordWrap/>
              <w:overflowPunct/>
              <w:topLinePunct w:val="0"/>
              <w:autoSpaceDE/>
              <w:autoSpaceDN/>
              <w:bidi w:val="0"/>
              <w:adjustRightInd w:val="0"/>
              <w:snapToGrid w:val="0"/>
              <w:spacing w:line="240" w:lineRule="auto"/>
              <w:ind w:left="0" w:firstLine="0"/>
              <w:jc w:val="center"/>
              <w:textAlignment w:val="auto"/>
              <w:rPr>
                <w:rFonts w:ascii="Times New Roman" w:hAnsi="Times New Roman" w:eastAsia="仿宋_GB2312" w:cs="仿宋_GB2312"/>
                <w:b w:val="0"/>
                <w:bCs w:val="0"/>
                <w:snapToGrid w:val="0"/>
                <w:kern w:val="0"/>
                <w:sz w:val="24"/>
                <w:szCs w:val="24"/>
                <w:highlight w:val="none"/>
              </w:rPr>
            </w:pPr>
            <w:r>
              <w:rPr>
                <w:rFonts w:hint="eastAsia" w:ascii="Times New Roman" w:hAnsi="Times New Roman" w:eastAsia="仿宋_GB2312" w:cs="仿宋_GB2312"/>
                <w:b w:val="0"/>
                <w:bCs w:val="0"/>
                <w:snapToGrid w:val="0"/>
                <w:kern w:val="0"/>
                <w:sz w:val="24"/>
                <w:szCs w:val="24"/>
                <w:highlight w:val="none"/>
              </w:rPr>
              <w:t>市域</w:t>
            </w:r>
          </w:p>
        </w:tc>
        <w:tc>
          <w:tcPr>
            <w:tcW w:w="1040" w:type="pct"/>
            <w:vAlign w:val="center"/>
          </w:tcPr>
          <w:p w14:paraId="331EF416">
            <w:pPr>
              <w:keepNext w:val="0"/>
              <w:keepLines w:val="0"/>
              <w:pageBreakBefore w:val="0"/>
              <w:widowControl w:val="0"/>
              <w:kinsoku/>
              <w:wordWrap/>
              <w:overflowPunct/>
              <w:topLinePunct w:val="0"/>
              <w:autoSpaceDE/>
              <w:autoSpaceDN/>
              <w:bidi w:val="0"/>
              <w:adjustRightInd w:val="0"/>
              <w:snapToGrid w:val="0"/>
              <w:spacing w:line="240" w:lineRule="auto"/>
              <w:ind w:left="0" w:firstLine="0"/>
              <w:jc w:val="center"/>
              <w:textAlignment w:val="auto"/>
              <w:rPr>
                <w:rFonts w:hint="default" w:ascii="Times New Roman" w:hAnsi="Times New Roman" w:eastAsia="仿宋_GB2312" w:cs="仿宋_GB2312"/>
                <w:b w:val="0"/>
                <w:bCs w:val="0"/>
                <w:snapToGrid w:val="0"/>
                <w:kern w:val="0"/>
                <w:sz w:val="24"/>
                <w:szCs w:val="24"/>
                <w:highlight w:val="none"/>
                <w:lang w:val="en-US" w:eastAsia="zh-CN"/>
              </w:rPr>
            </w:pPr>
            <w:r>
              <w:rPr>
                <w:rFonts w:hint="eastAsia" w:ascii="Times New Roman" w:hAnsi="Times New Roman" w:eastAsia="仿宋_GB2312" w:cs="仿宋_GB2312"/>
                <w:b w:val="0"/>
                <w:bCs w:val="0"/>
                <w:snapToGrid w:val="0"/>
                <w:kern w:val="0"/>
                <w:sz w:val="24"/>
                <w:szCs w:val="24"/>
                <w:highlight w:val="none"/>
              </w:rPr>
              <w:t>市生态环境局</w:t>
            </w:r>
            <w:r>
              <w:rPr>
                <w:rFonts w:hint="eastAsia" w:ascii="Times New Roman" w:hAnsi="Times New Roman" w:eastAsia="仿宋_GB2312" w:cs="仿宋_GB2312"/>
                <w:b w:val="0"/>
                <w:bCs w:val="0"/>
                <w:snapToGrid w:val="0"/>
                <w:kern w:val="0"/>
                <w:sz w:val="24"/>
                <w:szCs w:val="24"/>
                <w:highlight w:val="none"/>
                <w:lang w:eastAsia="zh-CN"/>
              </w:rPr>
              <w:t>、</w:t>
            </w:r>
            <w:r>
              <w:rPr>
                <w:rFonts w:hint="eastAsia" w:ascii="Times New Roman" w:hAnsi="Times New Roman" w:eastAsia="仿宋_GB2312" w:cs="仿宋_GB2312"/>
                <w:b w:val="0"/>
                <w:bCs w:val="0"/>
                <w:snapToGrid w:val="0"/>
                <w:kern w:val="0"/>
                <w:sz w:val="24"/>
                <w:szCs w:val="24"/>
                <w:highlight w:val="none"/>
                <w:lang w:val="en-US" w:eastAsia="zh-CN"/>
              </w:rPr>
              <w:t>市发改委</w:t>
            </w:r>
          </w:p>
        </w:tc>
      </w:tr>
      <w:tr w14:paraId="5D1940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4" w:hRule="exact"/>
          <w:jc w:val="center"/>
        </w:trPr>
        <w:tc>
          <w:tcPr>
            <w:tcW w:w="261" w:type="pct"/>
            <w:vMerge w:val="continue"/>
          </w:tcPr>
          <w:p w14:paraId="66DD61BE">
            <w:pPr>
              <w:keepNext w:val="0"/>
              <w:keepLines w:val="0"/>
              <w:pageBreakBefore w:val="0"/>
              <w:widowControl w:val="0"/>
              <w:kinsoku/>
              <w:wordWrap/>
              <w:overflowPunct/>
              <w:topLinePunct w:val="0"/>
              <w:autoSpaceDE/>
              <w:autoSpaceDN/>
              <w:bidi w:val="0"/>
              <w:spacing w:line="240" w:lineRule="auto"/>
              <w:ind w:left="0" w:firstLine="0"/>
              <w:jc w:val="both"/>
              <w:textAlignment w:val="auto"/>
              <w:rPr>
                <w:rFonts w:ascii="Times New Roman" w:hAnsi="Times New Roman" w:eastAsia="仿宋_GB2312" w:cs="仿宋_GB2312"/>
                <w:b w:val="0"/>
                <w:bCs w:val="0"/>
                <w:sz w:val="24"/>
                <w:szCs w:val="24"/>
                <w:highlight w:val="none"/>
              </w:rPr>
            </w:pPr>
          </w:p>
        </w:tc>
        <w:tc>
          <w:tcPr>
            <w:tcW w:w="314" w:type="pct"/>
            <w:vAlign w:val="center"/>
          </w:tcPr>
          <w:p w14:paraId="64A164B5">
            <w:pPr>
              <w:keepNext w:val="0"/>
              <w:keepLines w:val="0"/>
              <w:pageBreakBefore w:val="0"/>
              <w:widowControl w:val="0"/>
              <w:numPr>
                <w:ilvl w:val="0"/>
                <w:numId w:val="3"/>
              </w:numPr>
              <w:kinsoku/>
              <w:wordWrap/>
              <w:overflowPunct/>
              <w:topLinePunct w:val="0"/>
              <w:autoSpaceDE/>
              <w:autoSpaceDN/>
              <w:bidi w:val="0"/>
              <w:spacing w:line="240" w:lineRule="auto"/>
              <w:ind w:left="0" w:leftChars="0" w:firstLine="0" w:firstLineChars="0"/>
              <w:jc w:val="center"/>
              <w:textAlignment w:val="auto"/>
              <w:rPr>
                <w:rFonts w:ascii="Times New Roman" w:hAnsi="Times New Roman" w:eastAsia="仿宋_GB2312" w:cs="仿宋_GB2312"/>
                <w:b w:val="0"/>
                <w:bCs w:val="0"/>
                <w:kern w:val="2"/>
                <w:sz w:val="24"/>
                <w:szCs w:val="24"/>
                <w:highlight w:val="none"/>
                <w:lang w:val="en-US" w:eastAsia="zh-CN" w:bidi="ar-SA"/>
              </w:rPr>
            </w:pPr>
          </w:p>
        </w:tc>
        <w:tc>
          <w:tcPr>
            <w:tcW w:w="1557" w:type="pct"/>
            <w:vAlign w:val="center"/>
          </w:tcPr>
          <w:p w14:paraId="03DB4449">
            <w:pPr>
              <w:keepNext w:val="0"/>
              <w:keepLines w:val="0"/>
              <w:pageBreakBefore w:val="0"/>
              <w:widowControl w:val="0"/>
              <w:kinsoku/>
              <w:wordWrap/>
              <w:overflowPunct/>
              <w:topLinePunct w:val="0"/>
              <w:autoSpaceDE/>
              <w:autoSpaceDN/>
              <w:bidi w:val="0"/>
              <w:adjustRightInd w:val="0"/>
              <w:snapToGrid w:val="0"/>
              <w:spacing w:line="240" w:lineRule="auto"/>
              <w:ind w:left="0" w:firstLine="0"/>
              <w:jc w:val="both"/>
              <w:textAlignment w:val="auto"/>
              <w:rPr>
                <w:rFonts w:ascii="Times New Roman" w:hAnsi="Times New Roman" w:eastAsia="仿宋_GB2312" w:cs="仿宋_GB2312"/>
                <w:b w:val="0"/>
                <w:bCs w:val="0"/>
                <w:snapToGrid w:val="0"/>
                <w:kern w:val="0"/>
                <w:sz w:val="24"/>
                <w:szCs w:val="24"/>
                <w:highlight w:val="none"/>
              </w:rPr>
            </w:pPr>
            <w:r>
              <w:rPr>
                <w:rFonts w:hint="eastAsia" w:ascii="Times New Roman" w:hAnsi="Times New Roman" w:eastAsia="仿宋_GB2312" w:cs="仿宋_GB2312"/>
                <w:b w:val="0"/>
                <w:bCs w:val="0"/>
                <w:snapToGrid w:val="0"/>
                <w:kern w:val="0"/>
                <w:sz w:val="24"/>
                <w:szCs w:val="24"/>
                <w:highlight w:val="none"/>
              </w:rPr>
              <w:t>单位地区生产总值能源消耗降低（%）</w:t>
            </w:r>
          </w:p>
        </w:tc>
        <w:tc>
          <w:tcPr>
            <w:tcW w:w="1357" w:type="pct"/>
            <w:vAlign w:val="center"/>
          </w:tcPr>
          <w:p w14:paraId="379AA21F">
            <w:pPr>
              <w:keepNext w:val="0"/>
              <w:keepLines w:val="0"/>
              <w:pageBreakBefore w:val="0"/>
              <w:widowControl w:val="0"/>
              <w:kinsoku/>
              <w:wordWrap/>
              <w:overflowPunct/>
              <w:topLinePunct w:val="0"/>
              <w:autoSpaceDE/>
              <w:autoSpaceDN/>
              <w:bidi w:val="0"/>
              <w:adjustRightInd w:val="0"/>
              <w:snapToGrid w:val="0"/>
              <w:spacing w:line="240" w:lineRule="auto"/>
              <w:ind w:left="0" w:firstLine="0"/>
              <w:jc w:val="center"/>
              <w:textAlignment w:val="auto"/>
              <w:rPr>
                <w:rFonts w:ascii="Times New Roman" w:hAnsi="Times New Roman" w:eastAsia="仿宋_GB2312" w:cs="仿宋_GB2312"/>
                <w:b w:val="0"/>
                <w:bCs w:val="0"/>
                <w:snapToGrid w:val="0"/>
                <w:kern w:val="0"/>
                <w:sz w:val="24"/>
                <w:szCs w:val="24"/>
                <w:highlight w:val="none"/>
              </w:rPr>
            </w:pPr>
            <w:r>
              <w:rPr>
                <w:rFonts w:hint="eastAsia" w:ascii="Times New Roman" w:hAnsi="Times New Roman" w:eastAsia="仿宋_GB2312" w:cs="仿宋_GB2312"/>
                <w:b w:val="0"/>
                <w:bCs w:val="0"/>
                <w:snapToGrid w:val="0"/>
                <w:kern w:val="0"/>
                <w:sz w:val="24"/>
                <w:szCs w:val="24"/>
                <w:highlight w:val="none"/>
              </w:rPr>
              <w:t>完成省下达目标</w:t>
            </w:r>
            <w:r>
              <w:rPr>
                <w:rFonts w:hint="eastAsia" w:ascii="Times New Roman" w:hAnsi="Times New Roman" w:eastAsia="仿宋_GB2312" w:cs="仿宋_GB2312"/>
                <w:b w:val="0"/>
                <w:bCs w:val="0"/>
                <w:snapToGrid w:val="0"/>
                <w:kern w:val="0"/>
                <w:sz w:val="24"/>
                <w:szCs w:val="24"/>
                <w:highlight w:val="none"/>
                <w:lang w:eastAsia="zh-CN"/>
              </w:rPr>
              <w:t>（</w:t>
            </w:r>
            <w:r>
              <w:rPr>
                <w:rFonts w:hint="eastAsia" w:ascii="Times New Roman" w:hAnsi="Times New Roman" w:eastAsia="仿宋_GB2312" w:cs="仿宋_GB2312"/>
                <w:b w:val="0"/>
                <w:bCs w:val="0"/>
                <w:snapToGrid w:val="0"/>
                <w:kern w:val="0"/>
                <w:sz w:val="24"/>
                <w:szCs w:val="24"/>
                <w:highlight w:val="none"/>
                <w:lang w:val="en-US" w:eastAsia="zh-CN"/>
              </w:rPr>
              <w:t>高于全省平均水平</w:t>
            </w:r>
            <w:r>
              <w:rPr>
                <w:rFonts w:hint="eastAsia" w:ascii="Times New Roman" w:hAnsi="Times New Roman" w:eastAsia="仿宋_GB2312" w:cs="仿宋_GB2312"/>
                <w:b w:val="0"/>
                <w:bCs w:val="0"/>
                <w:snapToGrid w:val="0"/>
                <w:kern w:val="0"/>
                <w:sz w:val="24"/>
                <w:szCs w:val="24"/>
                <w:highlight w:val="none"/>
                <w:lang w:eastAsia="zh-CN"/>
              </w:rPr>
              <w:t>）</w:t>
            </w:r>
          </w:p>
        </w:tc>
        <w:tc>
          <w:tcPr>
            <w:tcW w:w="468" w:type="pct"/>
            <w:vAlign w:val="center"/>
          </w:tcPr>
          <w:p w14:paraId="100FEDAA">
            <w:pPr>
              <w:keepNext w:val="0"/>
              <w:keepLines w:val="0"/>
              <w:pageBreakBefore w:val="0"/>
              <w:widowControl w:val="0"/>
              <w:kinsoku/>
              <w:wordWrap/>
              <w:overflowPunct/>
              <w:topLinePunct w:val="0"/>
              <w:autoSpaceDE/>
              <w:autoSpaceDN/>
              <w:bidi w:val="0"/>
              <w:adjustRightInd w:val="0"/>
              <w:snapToGrid w:val="0"/>
              <w:spacing w:line="240" w:lineRule="auto"/>
              <w:ind w:left="0" w:firstLine="0"/>
              <w:jc w:val="center"/>
              <w:textAlignment w:val="auto"/>
              <w:rPr>
                <w:rFonts w:ascii="Times New Roman" w:hAnsi="Times New Roman" w:eastAsia="仿宋_GB2312" w:cs="仿宋_GB2312"/>
                <w:b w:val="0"/>
                <w:bCs w:val="0"/>
                <w:snapToGrid w:val="0"/>
                <w:kern w:val="0"/>
                <w:sz w:val="24"/>
                <w:szCs w:val="24"/>
                <w:highlight w:val="none"/>
              </w:rPr>
            </w:pPr>
            <w:r>
              <w:rPr>
                <w:rFonts w:hint="eastAsia" w:ascii="Times New Roman" w:hAnsi="Times New Roman" w:eastAsia="仿宋_GB2312" w:cs="仿宋_GB2312"/>
                <w:b w:val="0"/>
                <w:bCs w:val="0"/>
                <w:snapToGrid w:val="0"/>
                <w:kern w:val="0"/>
                <w:sz w:val="24"/>
                <w:szCs w:val="24"/>
                <w:highlight w:val="none"/>
              </w:rPr>
              <w:t>市域</w:t>
            </w:r>
          </w:p>
        </w:tc>
        <w:tc>
          <w:tcPr>
            <w:tcW w:w="1040" w:type="pct"/>
            <w:vAlign w:val="center"/>
          </w:tcPr>
          <w:p w14:paraId="14523CDF">
            <w:pPr>
              <w:keepNext w:val="0"/>
              <w:keepLines w:val="0"/>
              <w:pageBreakBefore w:val="0"/>
              <w:widowControl w:val="0"/>
              <w:kinsoku/>
              <w:wordWrap/>
              <w:overflowPunct/>
              <w:topLinePunct w:val="0"/>
              <w:autoSpaceDE/>
              <w:autoSpaceDN/>
              <w:bidi w:val="0"/>
              <w:adjustRightInd w:val="0"/>
              <w:snapToGrid w:val="0"/>
              <w:spacing w:line="240" w:lineRule="auto"/>
              <w:ind w:left="0" w:firstLine="0"/>
              <w:jc w:val="center"/>
              <w:textAlignment w:val="auto"/>
              <w:rPr>
                <w:rFonts w:ascii="Times New Roman" w:hAnsi="Times New Roman" w:eastAsia="仿宋_GB2312" w:cs="仿宋_GB2312"/>
                <w:b w:val="0"/>
                <w:bCs w:val="0"/>
                <w:snapToGrid w:val="0"/>
                <w:kern w:val="0"/>
                <w:sz w:val="24"/>
                <w:szCs w:val="24"/>
                <w:highlight w:val="none"/>
              </w:rPr>
            </w:pPr>
            <w:r>
              <w:rPr>
                <w:rFonts w:hint="eastAsia" w:ascii="Times New Roman" w:hAnsi="Times New Roman" w:eastAsia="仿宋_GB2312" w:cs="仿宋_GB2312"/>
                <w:b w:val="0"/>
                <w:bCs w:val="0"/>
                <w:snapToGrid w:val="0"/>
                <w:kern w:val="0"/>
                <w:sz w:val="24"/>
                <w:szCs w:val="24"/>
                <w:highlight w:val="none"/>
              </w:rPr>
              <w:t>市发改委</w:t>
            </w:r>
          </w:p>
        </w:tc>
      </w:tr>
      <w:tr w14:paraId="648E1C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1" w:hRule="exact"/>
          <w:jc w:val="center"/>
        </w:trPr>
        <w:tc>
          <w:tcPr>
            <w:tcW w:w="261" w:type="pct"/>
            <w:vMerge w:val="continue"/>
          </w:tcPr>
          <w:p w14:paraId="24F5CB17">
            <w:pPr>
              <w:keepNext w:val="0"/>
              <w:keepLines w:val="0"/>
              <w:pageBreakBefore w:val="0"/>
              <w:widowControl w:val="0"/>
              <w:kinsoku/>
              <w:wordWrap/>
              <w:overflowPunct/>
              <w:topLinePunct w:val="0"/>
              <w:autoSpaceDE/>
              <w:autoSpaceDN/>
              <w:bidi w:val="0"/>
              <w:spacing w:line="240" w:lineRule="auto"/>
              <w:ind w:left="0" w:firstLine="0"/>
              <w:jc w:val="both"/>
              <w:textAlignment w:val="auto"/>
              <w:rPr>
                <w:rFonts w:ascii="Times New Roman" w:hAnsi="Times New Roman" w:eastAsia="仿宋_GB2312" w:cs="仿宋_GB2312"/>
                <w:b w:val="0"/>
                <w:bCs w:val="0"/>
                <w:sz w:val="24"/>
                <w:szCs w:val="24"/>
                <w:highlight w:val="none"/>
              </w:rPr>
            </w:pPr>
          </w:p>
        </w:tc>
        <w:tc>
          <w:tcPr>
            <w:tcW w:w="314" w:type="pct"/>
            <w:vAlign w:val="center"/>
          </w:tcPr>
          <w:p w14:paraId="18E81ADB">
            <w:pPr>
              <w:keepNext w:val="0"/>
              <w:keepLines w:val="0"/>
              <w:pageBreakBefore w:val="0"/>
              <w:widowControl w:val="0"/>
              <w:numPr>
                <w:ilvl w:val="0"/>
                <w:numId w:val="3"/>
              </w:numPr>
              <w:kinsoku/>
              <w:wordWrap/>
              <w:overflowPunct/>
              <w:topLinePunct w:val="0"/>
              <w:autoSpaceDE/>
              <w:autoSpaceDN/>
              <w:bidi w:val="0"/>
              <w:spacing w:line="240" w:lineRule="auto"/>
              <w:ind w:left="0" w:leftChars="0" w:firstLine="0" w:firstLineChars="0"/>
              <w:jc w:val="center"/>
              <w:textAlignment w:val="auto"/>
              <w:rPr>
                <w:rFonts w:ascii="Times New Roman" w:hAnsi="Times New Roman" w:eastAsia="仿宋_GB2312" w:cs="仿宋_GB2312"/>
                <w:b w:val="0"/>
                <w:bCs w:val="0"/>
                <w:kern w:val="2"/>
                <w:sz w:val="24"/>
                <w:szCs w:val="24"/>
                <w:highlight w:val="none"/>
                <w:lang w:val="en-US" w:eastAsia="zh-CN" w:bidi="ar-SA"/>
              </w:rPr>
            </w:pPr>
          </w:p>
        </w:tc>
        <w:tc>
          <w:tcPr>
            <w:tcW w:w="1557" w:type="pct"/>
            <w:vAlign w:val="center"/>
          </w:tcPr>
          <w:p w14:paraId="6701740F">
            <w:pPr>
              <w:keepNext w:val="0"/>
              <w:keepLines w:val="0"/>
              <w:pageBreakBefore w:val="0"/>
              <w:widowControl w:val="0"/>
              <w:kinsoku/>
              <w:wordWrap/>
              <w:overflowPunct/>
              <w:topLinePunct w:val="0"/>
              <w:autoSpaceDE/>
              <w:autoSpaceDN/>
              <w:bidi w:val="0"/>
              <w:adjustRightInd w:val="0"/>
              <w:snapToGrid w:val="0"/>
              <w:spacing w:line="240" w:lineRule="auto"/>
              <w:ind w:left="0" w:firstLine="0"/>
              <w:jc w:val="both"/>
              <w:textAlignment w:val="auto"/>
              <w:rPr>
                <w:rFonts w:ascii="Times New Roman" w:hAnsi="Times New Roman" w:eastAsia="仿宋_GB2312" w:cs="仿宋_GB2312"/>
                <w:b w:val="0"/>
                <w:bCs w:val="0"/>
                <w:snapToGrid w:val="0"/>
                <w:kern w:val="0"/>
                <w:sz w:val="24"/>
                <w:szCs w:val="24"/>
                <w:highlight w:val="none"/>
              </w:rPr>
            </w:pPr>
            <w:r>
              <w:rPr>
                <w:rFonts w:hint="eastAsia" w:ascii="Times New Roman" w:hAnsi="Times New Roman" w:eastAsia="仿宋_GB2312" w:cs="仿宋_GB2312"/>
                <w:b w:val="0"/>
                <w:bCs w:val="0"/>
                <w:snapToGrid w:val="0"/>
                <w:kern w:val="0"/>
                <w:sz w:val="24"/>
                <w:szCs w:val="24"/>
                <w:highlight w:val="none"/>
              </w:rPr>
              <w:t>碳市场覆盖行业单位产出碳排放降低（%）</w:t>
            </w:r>
          </w:p>
        </w:tc>
        <w:tc>
          <w:tcPr>
            <w:tcW w:w="1357" w:type="pct"/>
            <w:vAlign w:val="center"/>
          </w:tcPr>
          <w:p w14:paraId="2E220D89">
            <w:pPr>
              <w:keepNext w:val="0"/>
              <w:keepLines w:val="0"/>
              <w:pageBreakBefore w:val="0"/>
              <w:widowControl w:val="0"/>
              <w:kinsoku/>
              <w:wordWrap/>
              <w:overflowPunct/>
              <w:topLinePunct w:val="0"/>
              <w:autoSpaceDE/>
              <w:autoSpaceDN/>
              <w:bidi w:val="0"/>
              <w:adjustRightInd w:val="0"/>
              <w:snapToGrid w:val="0"/>
              <w:spacing w:line="240" w:lineRule="auto"/>
              <w:ind w:left="0" w:firstLine="0"/>
              <w:jc w:val="center"/>
              <w:textAlignment w:val="auto"/>
              <w:rPr>
                <w:rFonts w:ascii="Times New Roman" w:hAnsi="Times New Roman" w:eastAsia="仿宋_GB2312" w:cs="仿宋_GB2312"/>
                <w:b w:val="0"/>
                <w:bCs w:val="0"/>
                <w:snapToGrid w:val="0"/>
                <w:kern w:val="0"/>
                <w:sz w:val="24"/>
                <w:szCs w:val="24"/>
                <w:highlight w:val="none"/>
              </w:rPr>
            </w:pPr>
            <w:r>
              <w:rPr>
                <w:rFonts w:hint="eastAsia" w:ascii="Times New Roman" w:hAnsi="Times New Roman" w:eastAsia="仿宋_GB2312" w:cs="仿宋_GB2312"/>
                <w:b w:val="0"/>
                <w:bCs w:val="0"/>
                <w:sz w:val="24"/>
                <w:szCs w:val="24"/>
                <w:highlight w:val="none"/>
              </w:rPr>
              <w:t>高于全省平均值</w:t>
            </w:r>
          </w:p>
        </w:tc>
        <w:tc>
          <w:tcPr>
            <w:tcW w:w="468" w:type="pct"/>
            <w:vAlign w:val="center"/>
          </w:tcPr>
          <w:p w14:paraId="066011A0">
            <w:pPr>
              <w:keepNext w:val="0"/>
              <w:keepLines w:val="0"/>
              <w:pageBreakBefore w:val="0"/>
              <w:widowControl w:val="0"/>
              <w:kinsoku/>
              <w:wordWrap/>
              <w:overflowPunct/>
              <w:topLinePunct w:val="0"/>
              <w:autoSpaceDE/>
              <w:autoSpaceDN/>
              <w:bidi w:val="0"/>
              <w:adjustRightInd w:val="0"/>
              <w:snapToGrid w:val="0"/>
              <w:spacing w:line="240" w:lineRule="auto"/>
              <w:ind w:left="0" w:firstLine="0"/>
              <w:jc w:val="center"/>
              <w:textAlignment w:val="auto"/>
              <w:rPr>
                <w:rFonts w:ascii="Times New Roman" w:hAnsi="Times New Roman" w:eastAsia="仿宋_GB2312" w:cs="仿宋_GB2312"/>
                <w:b w:val="0"/>
                <w:bCs w:val="0"/>
                <w:snapToGrid w:val="0"/>
                <w:kern w:val="0"/>
                <w:sz w:val="24"/>
                <w:szCs w:val="24"/>
                <w:highlight w:val="none"/>
              </w:rPr>
            </w:pPr>
            <w:r>
              <w:rPr>
                <w:rFonts w:hint="eastAsia" w:ascii="Times New Roman" w:hAnsi="Times New Roman" w:eastAsia="仿宋_GB2312" w:cs="仿宋_GB2312"/>
                <w:b w:val="0"/>
                <w:bCs w:val="0"/>
                <w:snapToGrid w:val="0"/>
                <w:kern w:val="0"/>
                <w:sz w:val="24"/>
                <w:szCs w:val="24"/>
                <w:highlight w:val="none"/>
              </w:rPr>
              <w:t>市域</w:t>
            </w:r>
          </w:p>
        </w:tc>
        <w:tc>
          <w:tcPr>
            <w:tcW w:w="1040" w:type="pct"/>
            <w:vAlign w:val="center"/>
          </w:tcPr>
          <w:p w14:paraId="7BCF5CD6">
            <w:pPr>
              <w:keepNext w:val="0"/>
              <w:keepLines w:val="0"/>
              <w:pageBreakBefore w:val="0"/>
              <w:widowControl w:val="0"/>
              <w:kinsoku/>
              <w:wordWrap/>
              <w:overflowPunct/>
              <w:topLinePunct w:val="0"/>
              <w:autoSpaceDE/>
              <w:autoSpaceDN/>
              <w:bidi w:val="0"/>
              <w:adjustRightInd w:val="0"/>
              <w:snapToGrid w:val="0"/>
              <w:spacing w:line="240" w:lineRule="auto"/>
              <w:ind w:left="0" w:firstLine="0"/>
              <w:jc w:val="center"/>
              <w:textAlignment w:val="auto"/>
              <w:rPr>
                <w:rFonts w:ascii="Times New Roman" w:hAnsi="Times New Roman" w:eastAsia="仿宋_GB2312" w:cs="仿宋_GB2312"/>
                <w:b w:val="0"/>
                <w:bCs w:val="0"/>
                <w:snapToGrid w:val="0"/>
                <w:kern w:val="0"/>
                <w:sz w:val="24"/>
                <w:szCs w:val="24"/>
                <w:highlight w:val="none"/>
              </w:rPr>
            </w:pPr>
            <w:r>
              <w:rPr>
                <w:rFonts w:hint="eastAsia" w:ascii="Times New Roman" w:hAnsi="Times New Roman" w:eastAsia="仿宋_GB2312" w:cs="仿宋_GB2312"/>
                <w:b w:val="0"/>
                <w:bCs w:val="0"/>
                <w:snapToGrid w:val="0"/>
                <w:kern w:val="0"/>
                <w:sz w:val="24"/>
                <w:szCs w:val="24"/>
                <w:highlight w:val="none"/>
              </w:rPr>
              <w:t>市生态环境局</w:t>
            </w:r>
          </w:p>
        </w:tc>
      </w:tr>
      <w:tr w14:paraId="182DC3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1" w:hRule="exact"/>
          <w:jc w:val="center"/>
        </w:trPr>
        <w:tc>
          <w:tcPr>
            <w:tcW w:w="261" w:type="pct"/>
            <w:vMerge w:val="continue"/>
          </w:tcPr>
          <w:p w14:paraId="190F7A87">
            <w:pPr>
              <w:keepNext w:val="0"/>
              <w:keepLines w:val="0"/>
              <w:pageBreakBefore w:val="0"/>
              <w:widowControl w:val="0"/>
              <w:kinsoku/>
              <w:wordWrap/>
              <w:overflowPunct/>
              <w:topLinePunct w:val="0"/>
              <w:autoSpaceDE/>
              <w:autoSpaceDN/>
              <w:bidi w:val="0"/>
              <w:spacing w:line="240" w:lineRule="auto"/>
              <w:ind w:left="0" w:firstLine="0"/>
              <w:jc w:val="both"/>
              <w:textAlignment w:val="auto"/>
              <w:rPr>
                <w:rFonts w:ascii="Times New Roman" w:hAnsi="Times New Roman" w:eastAsia="仿宋_GB2312" w:cs="仿宋_GB2312"/>
                <w:b w:val="0"/>
                <w:bCs w:val="0"/>
                <w:sz w:val="24"/>
                <w:szCs w:val="24"/>
                <w:highlight w:val="none"/>
              </w:rPr>
            </w:pPr>
          </w:p>
        </w:tc>
        <w:tc>
          <w:tcPr>
            <w:tcW w:w="314" w:type="pct"/>
            <w:vAlign w:val="center"/>
          </w:tcPr>
          <w:p w14:paraId="0039ABB7">
            <w:pPr>
              <w:keepNext w:val="0"/>
              <w:keepLines w:val="0"/>
              <w:pageBreakBefore w:val="0"/>
              <w:widowControl w:val="0"/>
              <w:numPr>
                <w:ilvl w:val="0"/>
                <w:numId w:val="3"/>
              </w:numPr>
              <w:kinsoku/>
              <w:wordWrap/>
              <w:overflowPunct/>
              <w:topLinePunct w:val="0"/>
              <w:autoSpaceDE/>
              <w:autoSpaceDN/>
              <w:bidi w:val="0"/>
              <w:spacing w:line="240" w:lineRule="auto"/>
              <w:ind w:left="0" w:leftChars="0" w:firstLine="0" w:firstLineChars="0"/>
              <w:jc w:val="center"/>
              <w:textAlignment w:val="auto"/>
              <w:rPr>
                <w:rFonts w:ascii="Times New Roman" w:hAnsi="Times New Roman" w:eastAsia="仿宋_GB2312" w:cs="仿宋_GB2312"/>
                <w:b w:val="0"/>
                <w:bCs w:val="0"/>
                <w:kern w:val="2"/>
                <w:sz w:val="24"/>
                <w:szCs w:val="24"/>
                <w:highlight w:val="none"/>
                <w:lang w:val="en-US" w:eastAsia="zh-CN" w:bidi="ar-SA"/>
              </w:rPr>
            </w:pPr>
          </w:p>
        </w:tc>
        <w:tc>
          <w:tcPr>
            <w:tcW w:w="1557" w:type="pct"/>
            <w:vAlign w:val="center"/>
          </w:tcPr>
          <w:p w14:paraId="637B438B">
            <w:pPr>
              <w:keepNext w:val="0"/>
              <w:keepLines w:val="0"/>
              <w:pageBreakBefore w:val="0"/>
              <w:widowControl w:val="0"/>
              <w:kinsoku/>
              <w:wordWrap/>
              <w:overflowPunct/>
              <w:topLinePunct w:val="0"/>
              <w:autoSpaceDE/>
              <w:autoSpaceDN/>
              <w:bidi w:val="0"/>
              <w:adjustRightInd w:val="0"/>
              <w:snapToGrid w:val="0"/>
              <w:spacing w:line="240" w:lineRule="auto"/>
              <w:ind w:left="0" w:firstLine="0"/>
              <w:jc w:val="both"/>
              <w:textAlignment w:val="auto"/>
              <w:rPr>
                <w:rFonts w:hint="eastAsia" w:ascii="Times New Roman" w:hAnsi="Times New Roman" w:eastAsia="仿宋_GB2312" w:cs="仿宋_GB2312"/>
                <w:b w:val="0"/>
                <w:bCs w:val="0"/>
                <w:snapToGrid w:val="0"/>
                <w:kern w:val="0"/>
                <w:sz w:val="24"/>
                <w:szCs w:val="24"/>
                <w:highlight w:val="none"/>
                <w:lang w:val="en-US" w:eastAsia="zh-CN" w:bidi="ar-SA"/>
              </w:rPr>
            </w:pPr>
            <w:r>
              <w:rPr>
                <w:rFonts w:hint="eastAsia" w:ascii="Times New Roman" w:hAnsi="Times New Roman" w:eastAsia="仿宋_GB2312" w:cs="仿宋_GB2312"/>
                <w:b w:val="0"/>
                <w:bCs w:val="0"/>
                <w:snapToGrid w:val="0"/>
                <w:kern w:val="0"/>
                <w:sz w:val="24"/>
                <w:szCs w:val="24"/>
                <w:highlight w:val="none"/>
              </w:rPr>
              <w:t>年人均二氧化碳排放量（吨/人）</w:t>
            </w:r>
          </w:p>
        </w:tc>
        <w:tc>
          <w:tcPr>
            <w:tcW w:w="1357" w:type="pct"/>
            <w:vAlign w:val="center"/>
          </w:tcPr>
          <w:p w14:paraId="27FFA8F0">
            <w:pPr>
              <w:keepNext w:val="0"/>
              <w:keepLines w:val="0"/>
              <w:pageBreakBefore w:val="0"/>
              <w:widowControl w:val="0"/>
              <w:kinsoku/>
              <w:wordWrap/>
              <w:overflowPunct/>
              <w:topLinePunct w:val="0"/>
              <w:autoSpaceDE/>
              <w:autoSpaceDN/>
              <w:bidi w:val="0"/>
              <w:adjustRightInd w:val="0"/>
              <w:snapToGrid w:val="0"/>
              <w:spacing w:line="240" w:lineRule="auto"/>
              <w:ind w:left="0" w:firstLine="0"/>
              <w:jc w:val="center"/>
              <w:textAlignment w:val="auto"/>
              <w:rPr>
                <w:rFonts w:hint="eastAsia" w:ascii="Times New Roman" w:hAnsi="Times New Roman" w:eastAsia="仿宋_GB2312" w:cs="仿宋_GB2312"/>
                <w:b w:val="0"/>
                <w:bCs w:val="0"/>
                <w:snapToGrid w:val="0"/>
                <w:kern w:val="0"/>
                <w:sz w:val="24"/>
                <w:szCs w:val="24"/>
                <w:highlight w:val="none"/>
                <w:lang w:val="en-US" w:eastAsia="zh-CN" w:bidi="ar-SA"/>
              </w:rPr>
            </w:pPr>
            <w:r>
              <w:rPr>
                <w:rFonts w:hint="eastAsia" w:ascii="Times New Roman" w:hAnsi="Times New Roman" w:eastAsia="仿宋_GB2312" w:cs="仿宋_GB2312"/>
                <w:b w:val="0"/>
                <w:bCs w:val="0"/>
                <w:snapToGrid w:val="0"/>
                <w:kern w:val="0"/>
                <w:sz w:val="24"/>
                <w:szCs w:val="24"/>
                <w:highlight w:val="none"/>
              </w:rPr>
              <w:t>持续降低</w:t>
            </w:r>
          </w:p>
        </w:tc>
        <w:tc>
          <w:tcPr>
            <w:tcW w:w="468" w:type="pct"/>
            <w:vAlign w:val="center"/>
          </w:tcPr>
          <w:p w14:paraId="002FA384">
            <w:pPr>
              <w:keepNext w:val="0"/>
              <w:keepLines w:val="0"/>
              <w:pageBreakBefore w:val="0"/>
              <w:widowControl w:val="0"/>
              <w:kinsoku/>
              <w:wordWrap/>
              <w:overflowPunct/>
              <w:topLinePunct w:val="0"/>
              <w:autoSpaceDE/>
              <w:autoSpaceDN/>
              <w:bidi w:val="0"/>
              <w:adjustRightInd w:val="0"/>
              <w:snapToGrid w:val="0"/>
              <w:spacing w:line="240" w:lineRule="auto"/>
              <w:ind w:left="0" w:firstLine="0"/>
              <w:jc w:val="center"/>
              <w:textAlignment w:val="auto"/>
              <w:rPr>
                <w:rFonts w:hint="eastAsia" w:ascii="Times New Roman" w:hAnsi="Times New Roman" w:eastAsia="仿宋_GB2312" w:cs="仿宋_GB2312"/>
                <w:b w:val="0"/>
                <w:bCs w:val="0"/>
                <w:snapToGrid w:val="0"/>
                <w:kern w:val="0"/>
                <w:sz w:val="24"/>
                <w:szCs w:val="24"/>
                <w:highlight w:val="none"/>
                <w:lang w:val="en-US" w:eastAsia="zh-CN" w:bidi="ar-SA"/>
              </w:rPr>
            </w:pPr>
            <w:r>
              <w:rPr>
                <w:rFonts w:hint="eastAsia" w:ascii="Times New Roman" w:hAnsi="Times New Roman" w:eastAsia="仿宋_GB2312" w:cs="仿宋_GB2312"/>
                <w:b w:val="0"/>
                <w:bCs w:val="0"/>
                <w:snapToGrid w:val="0"/>
                <w:kern w:val="0"/>
                <w:sz w:val="24"/>
                <w:szCs w:val="24"/>
                <w:highlight w:val="none"/>
              </w:rPr>
              <w:t>市域</w:t>
            </w:r>
          </w:p>
        </w:tc>
        <w:tc>
          <w:tcPr>
            <w:tcW w:w="1040" w:type="pct"/>
            <w:vAlign w:val="center"/>
          </w:tcPr>
          <w:p w14:paraId="6A6EE86A">
            <w:pPr>
              <w:keepNext w:val="0"/>
              <w:keepLines w:val="0"/>
              <w:pageBreakBefore w:val="0"/>
              <w:widowControl w:val="0"/>
              <w:kinsoku/>
              <w:wordWrap/>
              <w:overflowPunct/>
              <w:topLinePunct w:val="0"/>
              <w:autoSpaceDE/>
              <w:autoSpaceDN/>
              <w:bidi w:val="0"/>
              <w:adjustRightInd w:val="0"/>
              <w:snapToGrid w:val="0"/>
              <w:spacing w:line="240" w:lineRule="auto"/>
              <w:ind w:left="0" w:firstLine="0"/>
              <w:jc w:val="center"/>
              <w:textAlignment w:val="auto"/>
              <w:rPr>
                <w:rFonts w:hint="eastAsia" w:ascii="Times New Roman" w:hAnsi="Times New Roman" w:eastAsia="仿宋_GB2312" w:cs="仿宋_GB2312"/>
                <w:b w:val="0"/>
                <w:bCs w:val="0"/>
                <w:snapToGrid w:val="0"/>
                <w:kern w:val="0"/>
                <w:sz w:val="24"/>
                <w:szCs w:val="24"/>
                <w:highlight w:val="none"/>
                <w:lang w:val="en-US" w:eastAsia="zh-CN" w:bidi="ar-SA"/>
              </w:rPr>
            </w:pPr>
            <w:r>
              <w:rPr>
                <w:rFonts w:hint="eastAsia" w:ascii="Times New Roman" w:hAnsi="Times New Roman" w:eastAsia="仿宋_GB2312" w:cs="仿宋_GB2312"/>
                <w:b w:val="0"/>
                <w:bCs w:val="0"/>
                <w:snapToGrid w:val="0"/>
                <w:kern w:val="0"/>
                <w:sz w:val="24"/>
                <w:szCs w:val="24"/>
                <w:highlight w:val="none"/>
              </w:rPr>
              <w:t>市发改委</w:t>
            </w:r>
            <w:r>
              <w:rPr>
                <w:rFonts w:hint="eastAsia" w:ascii="Times New Roman" w:hAnsi="Times New Roman" w:eastAsia="仿宋_GB2312" w:cs="仿宋_GB2312"/>
                <w:b w:val="0"/>
                <w:bCs w:val="0"/>
                <w:snapToGrid w:val="0"/>
                <w:kern w:val="0"/>
                <w:sz w:val="24"/>
                <w:szCs w:val="24"/>
                <w:highlight w:val="none"/>
                <w:lang w:eastAsia="zh-CN"/>
              </w:rPr>
              <w:t>、</w:t>
            </w:r>
            <w:r>
              <w:rPr>
                <w:rFonts w:hint="eastAsia" w:ascii="Times New Roman" w:hAnsi="Times New Roman" w:eastAsia="仿宋_GB2312" w:cs="仿宋_GB2312"/>
                <w:b w:val="0"/>
                <w:bCs w:val="0"/>
                <w:snapToGrid w:val="0"/>
                <w:kern w:val="0"/>
                <w:sz w:val="24"/>
                <w:szCs w:val="24"/>
                <w:highlight w:val="none"/>
              </w:rPr>
              <w:t>市生态环境局</w:t>
            </w:r>
          </w:p>
        </w:tc>
      </w:tr>
      <w:tr w14:paraId="613F9F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1" w:hRule="exact"/>
          <w:jc w:val="center"/>
        </w:trPr>
        <w:tc>
          <w:tcPr>
            <w:tcW w:w="261" w:type="pct"/>
            <w:vMerge w:val="continue"/>
          </w:tcPr>
          <w:p w14:paraId="6BC024AB">
            <w:pPr>
              <w:keepNext w:val="0"/>
              <w:keepLines w:val="0"/>
              <w:pageBreakBefore w:val="0"/>
              <w:widowControl w:val="0"/>
              <w:kinsoku/>
              <w:wordWrap/>
              <w:overflowPunct/>
              <w:topLinePunct w:val="0"/>
              <w:autoSpaceDE/>
              <w:autoSpaceDN/>
              <w:bidi w:val="0"/>
              <w:spacing w:line="240" w:lineRule="auto"/>
              <w:ind w:left="0" w:firstLine="0"/>
              <w:jc w:val="both"/>
              <w:textAlignment w:val="auto"/>
              <w:rPr>
                <w:rFonts w:ascii="Times New Roman" w:hAnsi="Times New Roman" w:eastAsia="仿宋_GB2312" w:cs="仿宋_GB2312"/>
                <w:b w:val="0"/>
                <w:bCs w:val="0"/>
                <w:sz w:val="24"/>
                <w:szCs w:val="24"/>
                <w:highlight w:val="none"/>
              </w:rPr>
            </w:pPr>
          </w:p>
        </w:tc>
        <w:tc>
          <w:tcPr>
            <w:tcW w:w="314" w:type="pct"/>
            <w:vAlign w:val="center"/>
          </w:tcPr>
          <w:p w14:paraId="619FDF58">
            <w:pPr>
              <w:keepNext w:val="0"/>
              <w:keepLines w:val="0"/>
              <w:pageBreakBefore w:val="0"/>
              <w:widowControl w:val="0"/>
              <w:numPr>
                <w:ilvl w:val="0"/>
                <w:numId w:val="3"/>
              </w:numPr>
              <w:kinsoku/>
              <w:wordWrap/>
              <w:overflowPunct/>
              <w:topLinePunct w:val="0"/>
              <w:autoSpaceDE/>
              <w:autoSpaceDN/>
              <w:bidi w:val="0"/>
              <w:spacing w:line="240" w:lineRule="auto"/>
              <w:ind w:left="0" w:leftChars="0" w:firstLine="0" w:firstLineChars="0"/>
              <w:jc w:val="center"/>
              <w:textAlignment w:val="auto"/>
              <w:rPr>
                <w:rFonts w:ascii="Times New Roman" w:hAnsi="Times New Roman" w:eastAsia="仿宋_GB2312" w:cs="仿宋_GB2312"/>
                <w:b w:val="0"/>
                <w:bCs w:val="0"/>
                <w:kern w:val="2"/>
                <w:sz w:val="24"/>
                <w:szCs w:val="24"/>
                <w:highlight w:val="none"/>
                <w:lang w:val="en-US" w:eastAsia="zh-CN" w:bidi="ar-SA"/>
              </w:rPr>
            </w:pPr>
          </w:p>
        </w:tc>
        <w:tc>
          <w:tcPr>
            <w:tcW w:w="1557" w:type="pct"/>
            <w:vAlign w:val="center"/>
          </w:tcPr>
          <w:p w14:paraId="7A228BE1">
            <w:pPr>
              <w:keepNext w:val="0"/>
              <w:keepLines w:val="0"/>
              <w:pageBreakBefore w:val="0"/>
              <w:widowControl w:val="0"/>
              <w:kinsoku/>
              <w:wordWrap/>
              <w:overflowPunct/>
              <w:topLinePunct w:val="0"/>
              <w:autoSpaceDE/>
              <w:autoSpaceDN/>
              <w:bidi w:val="0"/>
              <w:adjustRightInd w:val="0"/>
              <w:snapToGrid w:val="0"/>
              <w:spacing w:line="240" w:lineRule="auto"/>
              <w:ind w:left="0" w:firstLine="0"/>
              <w:jc w:val="both"/>
              <w:textAlignment w:val="auto"/>
              <w:rPr>
                <w:rFonts w:hint="eastAsia" w:ascii="Times New Roman" w:hAnsi="Times New Roman" w:eastAsia="仿宋_GB2312" w:cs="仿宋_GB2312"/>
                <w:b w:val="0"/>
                <w:bCs w:val="0"/>
                <w:snapToGrid w:val="0"/>
                <w:kern w:val="0"/>
                <w:sz w:val="24"/>
                <w:szCs w:val="24"/>
                <w:highlight w:val="none"/>
                <w:lang w:val="en-US" w:eastAsia="zh-CN" w:bidi="ar-SA"/>
              </w:rPr>
            </w:pPr>
            <w:r>
              <w:rPr>
                <w:rFonts w:hint="eastAsia" w:ascii="Times New Roman" w:hAnsi="Times New Roman" w:eastAsia="仿宋_GB2312" w:cs="仿宋_GB2312"/>
                <w:b w:val="0"/>
                <w:bCs w:val="0"/>
                <w:snapToGrid w:val="0"/>
                <w:kern w:val="0"/>
                <w:sz w:val="24"/>
                <w:szCs w:val="24"/>
                <w:highlight w:val="none"/>
                <w:lang w:eastAsia="en-US"/>
              </w:rPr>
              <w:t>绿色出行比例（%）</w:t>
            </w:r>
          </w:p>
        </w:tc>
        <w:tc>
          <w:tcPr>
            <w:tcW w:w="1357" w:type="pct"/>
            <w:vAlign w:val="center"/>
          </w:tcPr>
          <w:p w14:paraId="5929E300">
            <w:pPr>
              <w:keepNext w:val="0"/>
              <w:keepLines w:val="0"/>
              <w:pageBreakBefore w:val="0"/>
              <w:widowControl w:val="0"/>
              <w:kinsoku/>
              <w:wordWrap/>
              <w:overflowPunct/>
              <w:topLinePunct w:val="0"/>
              <w:autoSpaceDE/>
              <w:autoSpaceDN/>
              <w:bidi w:val="0"/>
              <w:adjustRightInd w:val="0"/>
              <w:snapToGrid w:val="0"/>
              <w:spacing w:line="240" w:lineRule="auto"/>
              <w:ind w:left="0" w:firstLine="0"/>
              <w:jc w:val="center"/>
              <w:textAlignment w:val="auto"/>
              <w:rPr>
                <w:rFonts w:hint="eastAsia" w:ascii="Times New Roman" w:hAnsi="Times New Roman" w:eastAsia="仿宋_GB2312" w:cs="仿宋_GB2312"/>
                <w:b w:val="0"/>
                <w:bCs w:val="0"/>
                <w:snapToGrid w:val="0"/>
                <w:kern w:val="0"/>
                <w:sz w:val="24"/>
                <w:szCs w:val="24"/>
                <w:highlight w:val="none"/>
                <w:lang w:val="en-US" w:eastAsia="zh-CN" w:bidi="ar-SA"/>
              </w:rPr>
            </w:pPr>
            <w:r>
              <w:rPr>
                <w:rFonts w:hint="eastAsia" w:ascii="Times New Roman" w:hAnsi="Times New Roman" w:eastAsia="仿宋_GB2312" w:cs="仿宋_GB2312"/>
                <w:b w:val="0"/>
                <w:bCs w:val="0"/>
                <w:snapToGrid w:val="0"/>
                <w:kern w:val="0"/>
                <w:sz w:val="24"/>
                <w:szCs w:val="24"/>
                <w:highlight w:val="none"/>
              </w:rPr>
              <w:t>≥</w:t>
            </w:r>
            <w:r>
              <w:rPr>
                <w:rFonts w:hint="eastAsia" w:ascii="Times New Roman" w:hAnsi="Times New Roman" w:eastAsia="仿宋_GB2312" w:cs="仿宋_GB2312"/>
                <w:b w:val="0"/>
                <w:bCs w:val="0"/>
                <w:snapToGrid w:val="0"/>
                <w:kern w:val="0"/>
                <w:sz w:val="24"/>
                <w:szCs w:val="24"/>
                <w:highlight w:val="none"/>
                <w:lang w:val="en-US" w:eastAsia="zh-CN"/>
              </w:rPr>
              <w:t>70</w:t>
            </w:r>
          </w:p>
        </w:tc>
        <w:tc>
          <w:tcPr>
            <w:tcW w:w="468" w:type="pct"/>
            <w:vAlign w:val="center"/>
          </w:tcPr>
          <w:p w14:paraId="3A7464EB">
            <w:pPr>
              <w:keepNext w:val="0"/>
              <w:keepLines w:val="0"/>
              <w:pageBreakBefore w:val="0"/>
              <w:widowControl w:val="0"/>
              <w:kinsoku/>
              <w:wordWrap/>
              <w:overflowPunct/>
              <w:topLinePunct w:val="0"/>
              <w:autoSpaceDE/>
              <w:autoSpaceDN/>
              <w:bidi w:val="0"/>
              <w:adjustRightInd w:val="0"/>
              <w:snapToGrid w:val="0"/>
              <w:spacing w:line="240" w:lineRule="auto"/>
              <w:ind w:left="0" w:firstLine="0"/>
              <w:jc w:val="center"/>
              <w:textAlignment w:val="auto"/>
              <w:rPr>
                <w:rFonts w:hint="eastAsia" w:ascii="Times New Roman" w:hAnsi="Times New Roman" w:eastAsia="仿宋_GB2312" w:cs="仿宋_GB2312"/>
                <w:b w:val="0"/>
                <w:bCs w:val="0"/>
                <w:snapToGrid w:val="0"/>
                <w:kern w:val="0"/>
                <w:sz w:val="24"/>
                <w:szCs w:val="24"/>
                <w:highlight w:val="none"/>
                <w:lang w:val="en-US" w:eastAsia="zh-CN" w:bidi="ar-SA"/>
              </w:rPr>
            </w:pPr>
            <w:r>
              <w:rPr>
                <w:rFonts w:hint="eastAsia" w:ascii="Times New Roman" w:hAnsi="Times New Roman" w:eastAsia="仿宋_GB2312" w:cs="仿宋_GB2312"/>
                <w:b w:val="0"/>
                <w:bCs w:val="0"/>
                <w:snapToGrid w:val="0"/>
                <w:kern w:val="0"/>
                <w:sz w:val="24"/>
                <w:szCs w:val="24"/>
                <w:highlight w:val="none"/>
              </w:rPr>
              <w:t>城区</w:t>
            </w:r>
          </w:p>
        </w:tc>
        <w:tc>
          <w:tcPr>
            <w:tcW w:w="1040" w:type="pct"/>
            <w:vAlign w:val="center"/>
          </w:tcPr>
          <w:p w14:paraId="180EF979">
            <w:pPr>
              <w:keepNext w:val="0"/>
              <w:keepLines w:val="0"/>
              <w:pageBreakBefore w:val="0"/>
              <w:widowControl w:val="0"/>
              <w:kinsoku/>
              <w:wordWrap/>
              <w:overflowPunct/>
              <w:topLinePunct w:val="0"/>
              <w:autoSpaceDE/>
              <w:autoSpaceDN/>
              <w:bidi w:val="0"/>
              <w:adjustRightInd w:val="0"/>
              <w:snapToGrid w:val="0"/>
              <w:spacing w:line="240" w:lineRule="auto"/>
              <w:ind w:left="0" w:firstLine="0"/>
              <w:jc w:val="center"/>
              <w:textAlignment w:val="auto"/>
              <w:rPr>
                <w:rFonts w:hint="default" w:ascii="Times New Roman" w:hAnsi="Times New Roman" w:eastAsia="仿宋_GB2312" w:cs="仿宋_GB2312"/>
                <w:b w:val="0"/>
                <w:bCs w:val="0"/>
                <w:snapToGrid w:val="0"/>
                <w:kern w:val="0"/>
                <w:sz w:val="24"/>
                <w:szCs w:val="24"/>
                <w:highlight w:val="none"/>
                <w:lang w:val="en-US" w:eastAsia="zh-CN" w:bidi="ar-SA"/>
              </w:rPr>
            </w:pPr>
            <w:r>
              <w:rPr>
                <w:rFonts w:hint="eastAsia" w:ascii="Times New Roman" w:hAnsi="Times New Roman" w:eastAsia="仿宋_GB2312" w:cs="仿宋_GB2312"/>
                <w:b w:val="0"/>
                <w:bCs w:val="0"/>
                <w:snapToGrid w:val="0"/>
                <w:kern w:val="0"/>
                <w:sz w:val="24"/>
                <w:szCs w:val="24"/>
                <w:highlight w:val="none"/>
              </w:rPr>
              <w:t>市交通运输局</w:t>
            </w:r>
            <w:r>
              <w:rPr>
                <w:rFonts w:hint="eastAsia" w:ascii="Times New Roman" w:hAnsi="Times New Roman" w:eastAsia="仿宋_GB2312" w:cs="仿宋_GB2312"/>
                <w:b w:val="0"/>
                <w:bCs w:val="0"/>
                <w:snapToGrid w:val="0"/>
                <w:kern w:val="0"/>
                <w:sz w:val="24"/>
                <w:szCs w:val="24"/>
                <w:highlight w:val="none"/>
                <w:lang w:eastAsia="zh-CN"/>
              </w:rPr>
              <w:t>、市城管委、</w:t>
            </w:r>
            <w:r>
              <w:rPr>
                <w:rFonts w:hint="eastAsia" w:ascii="Times New Roman" w:hAnsi="Times New Roman" w:eastAsia="仿宋_GB2312" w:cs="仿宋_GB2312"/>
                <w:b w:val="0"/>
                <w:bCs w:val="0"/>
                <w:snapToGrid w:val="0"/>
                <w:kern w:val="0"/>
                <w:sz w:val="24"/>
                <w:szCs w:val="24"/>
                <w:highlight w:val="none"/>
                <w:lang w:val="en-US" w:eastAsia="zh-CN"/>
              </w:rPr>
              <w:t>市公安局</w:t>
            </w:r>
          </w:p>
        </w:tc>
      </w:tr>
      <w:tr w14:paraId="3A0A9F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1" w:hRule="exact"/>
          <w:jc w:val="center"/>
        </w:trPr>
        <w:tc>
          <w:tcPr>
            <w:tcW w:w="261" w:type="pct"/>
            <w:vMerge w:val="continue"/>
          </w:tcPr>
          <w:p w14:paraId="1A657C17">
            <w:pPr>
              <w:keepNext w:val="0"/>
              <w:keepLines w:val="0"/>
              <w:pageBreakBefore w:val="0"/>
              <w:widowControl w:val="0"/>
              <w:kinsoku/>
              <w:wordWrap/>
              <w:overflowPunct/>
              <w:topLinePunct w:val="0"/>
              <w:autoSpaceDE/>
              <w:autoSpaceDN/>
              <w:bidi w:val="0"/>
              <w:spacing w:line="240" w:lineRule="auto"/>
              <w:ind w:left="0" w:firstLine="0"/>
              <w:jc w:val="both"/>
              <w:textAlignment w:val="auto"/>
              <w:rPr>
                <w:rFonts w:ascii="Times New Roman" w:hAnsi="Times New Roman" w:eastAsia="仿宋_GB2312" w:cs="仿宋_GB2312"/>
                <w:b w:val="0"/>
                <w:bCs w:val="0"/>
                <w:sz w:val="24"/>
                <w:szCs w:val="24"/>
                <w:highlight w:val="none"/>
              </w:rPr>
            </w:pPr>
          </w:p>
        </w:tc>
        <w:tc>
          <w:tcPr>
            <w:tcW w:w="314" w:type="pct"/>
            <w:vAlign w:val="center"/>
          </w:tcPr>
          <w:p w14:paraId="6BC63D1D">
            <w:pPr>
              <w:keepNext w:val="0"/>
              <w:keepLines w:val="0"/>
              <w:pageBreakBefore w:val="0"/>
              <w:widowControl w:val="0"/>
              <w:numPr>
                <w:ilvl w:val="0"/>
                <w:numId w:val="3"/>
              </w:numPr>
              <w:kinsoku/>
              <w:wordWrap/>
              <w:overflowPunct/>
              <w:topLinePunct w:val="0"/>
              <w:autoSpaceDE/>
              <w:autoSpaceDN/>
              <w:bidi w:val="0"/>
              <w:spacing w:line="240" w:lineRule="auto"/>
              <w:ind w:left="0" w:leftChars="0" w:firstLine="0" w:firstLineChars="0"/>
              <w:jc w:val="center"/>
              <w:textAlignment w:val="auto"/>
              <w:rPr>
                <w:rFonts w:ascii="Times New Roman" w:hAnsi="Times New Roman" w:eastAsia="仿宋_GB2312" w:cs="仿宋_GB2312"/>
                <w:b w:val="0"/>
                <w:bCs w:val="0"/>
                <w:kern w:val="2"/>
                <w:sz w:val="24"/>
                <w:szCs w:val="24"/>
                <w:highlight w:val="none"/>
                <w:lang w:val="en-US" w:eastAsia="zh-CN" w:bidi="ar-SA"/>
              </w:rPr>
            </w:pPr>
          </w:p>
        </w:tc>
        <w:tc>
          <w:tcPr>
            <w:tcW w:w="1557" w:type="pct"/>
            <w:vAlign w:val="center"/>
          </w:tcPr>
          <w:p w14:paraId="0B3E2C4C">
            <w:pPr>
              <w:keepNext w:val="0"/>
              <w:keepLines w:val="0"/>
              <w:pageBreakBefore w:val="0"/>
              <w:widowControl w:val="0"/>
              <w:kinsoku/>
              <w:wordWrap/>
              <w:overflowPunct/>
              <w:topLinePunct w:val="0"/>
              <w:autoSpaceDE/>
              <w:autoSpaceDN/>
              <w:bidi w:val="0"/>
              <w:adjustRightInd w:val="0"/>
              <w:snapToGrid w:val="0"/>
              <w:spacing w:line="240" w:lineRule="auto"/>
              <w:ind w:left="0" w:firstLine="0"/>
              <w:jc w:val="both"/>
              <w:textAlignment w:val="auto"/>
              <w:rPr>
                <w:rFonts w:ascii="Times New Roman" w:hAnsi="Times New Roman" w:eastAsia="仿宋_GB2312" w:cs="仿宋_GB2312"/>
                <w:b w:val="0"/>
                <w:bCs w:val="0"/>
                <w:snapToGrid w:val="0"/>
                <w:kern w:val="0"/>
                <w:sz w:val="24"/>
                <w:szCs w:val="24"/>
                <w:highlight w:val="none"/>
              </w:rPr>
            </w:pPr>
            <w:r>
              <w:rPr>
                <w:rFonts w:hint="eastAsia" w:ascii="Times New Roman" w:hAnsi="Times New Roman" w:eastAsia="仿宋_GB2312" w:cs="仿宋_GB2312"/>
                <w:b w:val="0"/>
                <w:bCs w:val="0"/>
                <w:snapToGrid w:val="0"/>
                <w:kern w:val="0"/>
                <w:sz w:val="24"/>
                <w:szCs w:val="24"/>
                <w:highlight w:val="none"/>
              </w:rPr>
              <w:t>社区低碳能源设施覆盖率（%）</w:t>
            </w:r>
          </w:p>
        </w:tc>
        <w:tc>
          <w:tcPr>
            <w:tcW w:w="1357" w:type="pct"/>
            <w:vAlign w:val="center"/>
          </w:tcPr>
          <w:p w14:paraId="26F03186">
            <w:pPr>
              <w:keepNext w:val="0"/>
              <w:keepLines w:val="0"/>
              <w:pageBreakBefore w:val="0"/>
              <w:widowControl w:val="0"/>
              <w:kinsoku/>
              <w:wordWrap/>
              <w:overflowPunct/>
              <w:topLinePunct w:val="0"/>
              <w:autoSpaceDE/>
              <w:autoSpaceDN/>
              <w:bidi w:val="0"/>
              <w:adjustRightInd w:val="0"/>
              <w:snapToGrid w:val="0"/>
              <w:spacing w:line="240" w:lineRule="auto"/>
              <w:ind w:left="0" w:firstLine="0"/>
              <w:jc w:val="center"/>
              <w:textAlignment w:val="auto"/>
              <w:rPr>
                <w:rFonts w:ascii="Times New Roman" w:hAnsi="Times New Roman" w:eastAsia="仿宋_GB2312" w:cs="仿宋_GB2312"/>
                <w:b w:val="0"/>
                <w:bCs w:val="0"/>
                <w:snapToGrid w:val="0"/>
                <w:kern w:val="0"/>
                <w:sz w:val="24"/>
                <w:szCs w:val="24"/>
                <w:highlight w:val="none"/>
              </w:rPr>
            </w:pPr>
            <w:r>
              <w:rPr>
                <w:rFonts w:hint="eastAsia" w:ascii="Times New Roman" w:hAnsi="Times New Roman" w:eastAsia="仿宋_GB2312" w:cs="仿宋_GB2312"/>
                <w:b w:val="0"/>
                <w:bCs w:val="0"/>
                <w:snapToGrid w:val="0"/>
                <w:kern w:val="0"/>
                <w:sz w:val="24"/>
                <w:szCs w:val="24"/>
                <w:highlight w:val="none"/>
              </w:rPr>
              <w:t>持续提高</w:t>
            </w:r>
          </w:p>
        </w:tc>
        <w:tc>
          <w:tcPr>
            <w:tcW w:w="468" w:type="pct"/>
            <w:vAlign w:val="center"/>
          </w:tcPr>
          <w:p w14:paraId="7BB9A898">
            <w:pPr>
              <w:keepNext w:val="0"/>
              <w:keepLines w:val="0"/>
              <w:pageBreakBefore w:val="0"/>
              <w:widowControl w:val="0"/>
              <w:kinsoku/>
              <w:wordWrap/>
              <w:overflowPunct/>
              <w:topLinePunct w:val="0"/>
              <w:autoSpaceDE/>
              <w:autoSpaceDN/>
              <w:bidi w:val="0"/>
              <w:adjustRightInd w:val="0"/>
              <w:snapToGrid w:val="0"/>
              <w:spacing w:line="240" w:lineRule="auto"/>
              <w:ind w:left="0" w:firstLine="0"/>
              <w:jc w:val="center"/>
              <w:textAlignment w:val="auto"/>
              <w:rPr>
                <w:rFonts w:ascii="Times New Roman" w:hAnsi="Times New Roman" w:eastAsia="仿宋_GB2312" w:cs="仿宋_GB2312"/>
                <w:b w:val="0"/>
                <w:bCs w:val="0"/>
                <w:snapToGrid w:val="0"/>
                <w:kern w:val="0"/>
                <w:sz w:val="24"/>
                <w:szCs w:val="24"/>
                <w:highlight w:val="none"/>
              </w:rPr>
            </w:pPr>
            <w:r>
              <w:rPr>
                <w:rFonts w:hint="eastAsia" w:ascii="Times New Roman" w:hAnsi="Times New Roman" w:eastAsia="仿宋_GB2312" w:cs="仿宋_GB2312"/>
                <w:b w:val="0"/>
                <w:bCs w:val="0"/>
                <w:snapToGrid w:val="0"/>
                <w:kern w:val="0"/>
                <w:sz w:val="24"/>
                <w:szCs w:val="24"/>
                <w:highlight w:val="none"/>
              </w:rPr>
              <w:t>城区</w:t>
            </w:r>
          </w:p>
        </w:tc>
        <w:tc>
          <w:tcPr>
            <w:tcW w:w="1040" w:type="pct"/>
            <w:vAlign w:val="center"/>
          </w:tcPr>
          <w:p w14:paraId="57B12E5C">
            <w:pPr>
              <w:keepNext w:val="0"/>
              <w:keepLines w:val="0"/>
              <w:pageBreakBefore w:val="0"/>
              <w:widowControl w:val="0"/>
              <w:kinsoku/>
              <w:wordWrap/>
              <w:overflowPunct/>
              <w:topLinePunct w:val="0"/>
              <w:autoSpaceDE/>
              <w:autoSpaceDN/>
              <w:bidi w:val="0"/>
              <w:adjustRightInd w:val="0"/>
              <w:snapToGrid w:val="0"/>
              <w:spacing w:line="240" w:lineRule="auto"/>
              <w:ind w:left="0" w:firstLine="0"/>
              <w:jc w:val="center"/>
              <w:textAlignment w:val="auto"/>
              <w:rPr>
                <w:rFonts w:hint="default" w:ascii="Times New Roman" w:hAnsi="Times New Roman" w:eastAsia="仿宋_GB2312" w:cs="仿宋_GB2312"/>
                <w:b w:val="0"/>
                <w:bCs w:val="0"/>
                <w:snapToGrid w:val="0"/>
                <w:kern w:val="0"/>
                <w:sz w:val="24"/>
                <w:szCs w:val="24"/>
                <w:highlight w:val="none"/>
                <w:lang w:val="en-US" w:eastAsia="zh-CN"/>
              </w:rPr>
            </w:pPr>
            <w:r>
              <w:rPr>
                <w:rFonts w:hint="eastAsia" w:ascii="Times New Roman" w:hAnsi="Times New Roman" w:eastAsia="仿宋_GB2312" w:cs="仿宋_GB2312"/>
                <w:b w:val="0"/>
                <w:bCs w:val="0"/>
                <w:snapToGrid w:val="0"/>
                <w:kern w:val="0"/>
                <w:sz w:val="24"/>
                <w:szCs w:val="24"/>
                <w:highlight w:val="none"/>
                <w:lang w:eastAsia="zh-CN"/>
              </w:rPr>
              <w:t>市住房和城市更新局、</w:t>
            </w:r>
            <w:r>
              <w:rPr>
                <w:rFonts w:hint="eastAsia" w:ascii="Times New Roman" w:hAnsi="Times New Roman" w:eastAsia="仿宋_GB2312" w:cs="仿宋_GB2312"/>
                <w:b w:val="0"/>
                <w:bCs w:val="0"/>
                <w:snapToGrid w:val="0"/>
                <w:kern w:val="0"/>
                <w:sz w:val="24"/>
                <w:szCs w:val="24"/>
                <w:highlight w:val="none"/>
                <w:lang w:val="en-US" w:eastAsia="zh-CN"/>
              </w:rPr>
              <w:t>市发改委</w:t>
            </w:r>
          </w:p>
        </w:tc>
      </w:tr>
      <w:tr w14:paraId="4AF9A0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exact"/>
          <w:jc w:val="center"/>
        </w:trPr>
        <w:tc>
          <w:tcPr>
            <w:tcW w:w="261" w:type="pct"/>
            <w:vMerge w:val="continue"/>
          </w:tcPr>
          <w:p w14:paraId="1E48B02B">
            <w:pPr>
              <w:keepNext w:val="0"/>
              <w:keepLines w:val="0"/>
              <w:pageBreakBefore w:val="0"/>
              <w:widowControl w:val="0"/>
              <w:kinsoku/>
              <w:wordWrap/>
              <w:overflowPunct/>
              <w:topLinePunct w:val="0"/>
              <w:autoSpaceDE/>
              <w:autoSpaceDN/>
              <w:bidi w:val="0"/>
              <w:spacing w:line="240" w:lineRule="auto"/>
              <w:ind w:left="0" w:firstLine="0"/>
              <w:jc w:val="both"/>
              <w:textAlignment w:val="auto"/>
              <w:rPr>
                <w:rFonts w:ascii="Times New Roman" w:hAnsi="Times New Roman" w:eastAsia="仿宋_GB2312" w:cs="仿宋_GB2312"/>
                <w:b w:val="0"/>
                <w:bCs w:val="0"/>
                <w:sz w:val="24"/>
                <w:szCs w:val="24"/>
                <w:highlight w:val="none"/>
              </w:rPr>
            </w:pPr>
          </w:p>
        </w:tc>
        <w:tc>
          <w:tcPr>
            <w:tcW w:w="314" w:type="pct"/>
            <w:vAlign w:val="center"/>
          </w:tcPr>
          <w:p w14:paraId="5E367ABF">
            <w:pPr>
              <w:keepNext w:val="0"/>
              <w:keepLines w:val="0"/>
              <w:pageBreakBefore w:val="0"/>
              <w:widowControl w:val="0"/>
              <w:numPr>
                <w:ilvl w:val="0"/>
                <w:numId w:val="3"/>
              </w:numPr>
              <w:kinsoku/>
              <w:wordWrap/>
              <w:overflowPunct/>
              <w:topLinePunct w:val="0"/>
              <w:autoSpaceDE/>
              <w:autoSpaceDN/>
              <w:bidi w:val="0"/>
              <w:spacing w:line="240" w:lineRule="auto"/>
              <w:ind w:left="0" w:leftChars="0" w:firstLine="0" w:firstLineChars="0"/>
              <w:jc w:val="center"/>
              <w:textAlignment w:val="auto"/>
              <w:rPr>
                <w:rFonts w:ascii="Times New Roman" w:hAnsi="Times New Roman" w:eastAsia="仿宋_GB2312" w:cs="仿宋_GB2312"/>
                <w:b w:val="0"/>
                <w:bCs w:val="0"/>
                <w:kern w:val="2"/>
                <w:sz w:val="24"/>
                <w:szCs w:val="24"/>
                <w:highlight w:val="none"/>
                <w:lang w:val="en-US" w:eastAsia="zh-CN" w:bidi="ar-SA"/>
              </w:rPr>
            </w:pPr>
          </w:p>
        </w:tc>
        <w:tc>
          <w:tcPr>
            <w:tcW w:w="1557" w:type="pct"/>
            <w:vAlign w:val="center"/>
          </w:tcPr>
          <w:p w14:paraId="218808BB">
            <w:pPr>
              <w:keepNext w:val="0"/>
              <w:keepLines w:val="0"/>
              <w:pageBreakBefore w:val="0"/>
              <w:widowControl w:val="0"/>
              <w:kinsoku/>
              <w:wordWrap/>
              <w:overflowPunct/>
              <w:topLinePunct w:val="0"/>
              <w:autoSpaceDE/>
              <w:autoSpaceDN/>
              <w:bidi w:val="0"/>
              <w:adjustRightInd w:val="0"/>
              <w:snapToGrid w:val="0"/>
              <w:spacing w:line="240" w:lineRule="auto"/>
              <w:ind w:left="0" w:firstLine="0"/>
              <w:jc w:val="both"/>
              <w:textAlignment w:val="auto"/>
              <w:rPr>
                <w:rFonts w:ascii="Times New Roman" w:hAnsi="Times New Roman" w:eastAsia="仿宋_GB2312" w:cs="仿宋_GB2312"/>
                <w:b w:val="0"/>
                <w:bCs w:val="0"/>
                <w:snapToGrid w:val="0"/>
                <w:kern w:val="0"/>
                <w:sz w:val="24"/>
                <w:szCs w:val="24"/>
                <w:highlight w:val="none"/>
              </w:rPr>
            </w:pPr>
            <w:r>
              <w:rPr>
                <w:rFonts w:hint="eastAsia" w:ascii="Times New Roman" w:hAnsi="Times New Roman" w:eastAsia="仿宋_GB2312" w:cs="仿宋_GB2312"/>
                <w:b w:val="0"/>
                <w:bCs w:val="0"/>
                <w:snapToGrid w:val="0"/>
                <w:kern w:val="0"/>
                <w:sz w:val="24"/>
                <w:szCs w:val="24"/>
                <w:highlight w:val="none"/>
              </w:rPr>
              <w:t>绿色建筑面积占比（%）</w:t>
            </w:r>
          </w:p>
        </w:tc>
        <w:tc>
          <w:tcPr>
            <w:tcW w:w="1357" w:type="pct"/>
            <w:vAlign w:val="center"/>
          </w:tcPr>
          <w:p w14:paraId="77AA78C7">
            <w:pPr>
              <w:keepNext w:val="0"/>
              <w:keepLines w:val="0"/>
              <w:pageBreakBefore w:val="0"/>
              <w:widowControl w:val="0"/>
              <w:kinsoku/>
              <w:wordWrap/>
              <w:overflowPunct/>
              <w:topLinePunct w:val="0"/>
              <w:autoSpaceDE/>
              <w:autoSpaceDN/>
              <w:bidi w:val="0"/>
              <w:adjustRightInd w:val="0"/>
              <w:snapToGrid w:val="0"/>
              <w:spacing w:line="240" w:lineRule="auto"/>
              <w:ind w:left="0" w:firstLine="0"/>
              <w:jc w:val="center"/>
              <w:textAlignment w:val="auto"/>
              <w:rPr>
                <w:rFonts w:ascii="Times New Roman" w:hAnsi="Times New Roman" w:eastAsia="仿宋_GB2312" w:cs="仿宋_GB2312"/>
                <w:b w:val="0"/>
                <w:bCs w:val="0"/>
                <w:snapToGrid w:val="0"/>
                <w:kern w:val="0"/>
                <w:sz w:val="24"/>
                <w:szCs w:val="24"/>
                <w:highlight w:val="none"/>
              </w:rPr>
            </w:pPr>
            <w:r>
              <w:rPr>
                <w:rFonts w:hint="eastAsia" w:ascii="Times New Roman" w:hAnsi="Times New Roman" w:eastAsia="仿宋_GB2312" w:cs="仿宋_GB2312"/>
                <w:b w:val="0"/>
                <w:bCs w:val="0"/>
                <w:snapToGrid w:val="0"/>
                <w:kern w:val="0"/>
                <w:sz w:val="24"/>
                <w:szCs w:val="24"/>
                <w:highlight w:val="none"/>
              </w:rPr>
              <w:t>100</w:t>
            </w:r>
          </w:p>
        </w:tc>
        <w:tc>
          <w:tcPr>
            <w:tcW w:w="468" w:type="pct"/>
            <w:vAlign w:val="center"/>
          </w:tcPr>
          <w:p w14:paraId="6058774A">
            <w:pPr>
              <w:keepNext w:val="0"/>
              <w:keepLines w:val="0"/>
              <w:pageBreakBefore w:val="0"/>
              <w:widowControl w:val="0"/>
              <w:kinsoku/>
              <w:wordWrap/>
              <w:overflowPunct/>
              <w:topLinePunct w:val="0"/>
              <w:autoSpaceDE/>
              <w:autoSpaceDN/>
              <w:bidi w:val="0"/>
              <w:adjustRightInd w:val="0"/>
              <w:snapToGrid w:val="0"/>
              <w:spacing w:line="240" w:lineRule="auto"/>
              <w:ind w:left="0" w:firstLine="0"/>
              <w:jc w:val="center"/>
              <w:textAlignment w:val="auto"/>
              <w:rPr>
                <w:rFonts w:ascii="Times New Roman" w:hAnsi="Times New Roman" w:eastAsia="仿宋_GB2312" w:cs="仿宋_GB2312"/>
                <w:b w:val="0"/>
                <w:bCs w:val="0"/>
                <w:snapToGrid w:val="0"/>
                <w:kern w:val="0"/>
                <w:sz w:val="24"/>
                <w:szCs w:val="24"/>
                <w:highlight w:val="none"/>
              </w:rPr>
            </w:pPr>
            <w:r>
              <w:rPr>
                <w:rFonts w:hint="eastAsia" w:ascii="Times New Roman" w:hAnsi="Times New Roman" w:eastAsia="仿宋_GB2312" w:cs="仿宋_GB2312"/>
                <w:b w:val="0"/>
                <w:bCs w:val="0"/>
                <w:snapToGrid w:val="0"/>
                <w:kern w:val="0"/>
                <w:sz w:val="24"/>
                <w:szCs w:val="24"/>
                <w:highlight w:val="none"/>
              </w:rPr>
              <w:t>城区</w:t>
            </w:r>
          </w:p>
        </w:tc>
        <w:tc>
          <w:tcPr>
            <w:tcW w:w="1040" w:type="pct"/>
            <w:vAlign w:val="center"/>
          </w:tcPr>
          <w:p w14:paraId="250B057B">
            <w:pPr>
              <w:keepNext w:val="0"/>
              <w:keepLines w:val="0"/>
              <w:pageBreakBefore w:val="0"/>
              <w:widowControl w:val="0"/>
              <w:kinsoku/>
              <w:wordWrap/>
              <w:overflowPunct/>
              <w:topLinePunct w:val="0"/>
              <w:autoSpaceDE/>
              <w:autoSpaceDN/>
              <w:bidi w:val="0"/>
              <w:adjustRightInd w:val="0"/>
              <w:snapToGrid w:val="0"/>
              <w:spacing w:line="240" w:lineRule="auto"/>
              <w:ind w:left="0" w:firstLine="0"/>
              <w:jc w:val="center"/>
              <w:textAlignment w:val="auto"/>
              <w:rPr>
                <w:rFonts w:ascii="Times New Roman" w:hAnsi="Times New Roman" w:eastAsia="仿宋_GB2312" w:cs="仿宋_GB2312"/>
                <w:b w:val="0"/>
                <w:bCs w:val="0"/>
                <w:snapToGrid w:val="0"/>
                <w:kern w:val="0"/>
                <w:sz w:val="24"/>
                <w:szCs w:val="24"/>
                <w:highlight w:val="none"/>
              </w:rPr>
            </w:pPr>
            <w:r>
              <w:rPr>
                <w:rFonts w:hint="eastAsia" w:ascii="Times New Roman" w:hAnsi="Times New Roman" w:eastAsia="仿宋_GB2312" w:cs="仿宋_GB2312"/>
                <w:b w:val="0"/>
                <w:bCs w:val="0"/>
                <w:snapToGrid w:val="0"/>
                <w:kern w:val="0"/>
                <w:sz w:val="24"/>
                <w:szCs w:val="24"/>
                <w:highlight w:val="none"/>
                <w:lang w:eastAsia="zh-CN"/>
              </w:rPr>
              <w:t>市住房和城市更新局</w:t>
            </w:r>
          </w:p>
        </w:tc>
      </w:tr>
      <w:tr w14:paraId="127BF9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exact"/>
          <w:jc w:val="center"/>
        </w:trPr>
        <w:tc>
          <w:tcPr>
            <w:tcW w:w="261" w:type="pct"/>
            <w:vMerge w:val="continue"/>
          </w:tcPr>
          <w:p w14:paraId="2A97C9E4">
            <w:pPr>
              <w:keepNext w:val="0"/>
              <w:keepLines w:val="0"/>
              <w:pageBreakBefore w:val="0"/>
              <w:widowControl w:val="0"/>
              <w:kinsoku/>
              <w:wordWrap/>
              <w:overflowPunct/>
              <w:topLinePunct w:val="0"/>
              <w:autoSpaceDE/>
              <w:autoSpaceDN/>
              <w:bidi w:val="0"/>
              <w:spacing w:line="240" w:lineRule="auto"/>
              <w:ind w:left="0" w:firstLine="0"/>
              <w:jc w:val="both"/>
              <w:textAlignment w:val="auto"/>
              <w:rPr>
                <w:rFonts w:ascii="Times New Roman" w:hAnsi="Times New Roman" w:eastAsia="仿宋_GB2312" w:cs="仿宋_GB2312"/>
                <w:b w:val="0"/>
                <w:bCs w:val="0"/>
                <w:sz w:val="24"/>
                <w:szCs w:val="24"/>
                <w:highlight w:val="none"/>
              </w:rPr>
            </w:pPr>
          </w:p>
        </w:tc>
        <w:tc>
          <w:tcPr>
            <w:tcW w:w="314" w:type="pct"/>
            <w:vAlign w:val="center"/>
          </w:tcPr>
          <w:p w14:paraId="1FDCAA61">
            <w:pPr>
              <w:keepNext w:val="0"/>
              <w:keepLines w:val="0"/>
              <w:pageBreakBefore w:val="0"/>
              <w:widowControl w:val="0"/>
              <w:numPr>
                <w:ilvl w:val="0"/>
                <w:numId w:val="3"/>
              </w:numPr>
              <w:kinsoku/>
              <w:wordWrap/>
              <w:overflowPunct/>
              <w:topLinePunct w:val="0"/>
              <w:autoSpaceDE/>
              <w:autoSpaceDN/>
              <w:bidi w:val="0"/>
              <w:spacing w:line="240" w:lineRule="auto"/>
              <w:ind w:left="0" w:leftChars="0" w:firstLine="0" w:firstLineChars="0"/>
              <w:jc w:val="center"/>
              <w:textAlignment w:val="auto"/>
              <w:rPr>
                <w:rFonts w:ascii="Times New Roman" w:hAnsi="Times New Roman" w:eastAsia="仿宋_GB2312" w:cs="仿宋_GB2312"/>
                <w:b w:val="0"/>
                <w:bCs w:val="0"/>
                <w:kern w:val="2"/>
                <w:sz w:val="24"/>
                <w:szCs w:val="24"/>
                <w:highlight w:val="none"/>
                <w:lang w:val="en-US" w:eastAsia="zh-CN" w:bidi="ar-SA"/>
              </w:rPr>
            </w:pPr>
          </w:p>
        </w:tc>
        <w:tc>
          <w:tcPr>
            <w:tcW w:w="1557" w:type="pct"/>
            <w:vAlign w:val="center"/>
          </w:tcPr>
          <w:p w14:paraId="2DD20756">
            <w:pPr>
              <w:keepNext w:val="0"/>
              <w:keepLines w:val="0"/>
              <w:pageBreakBefore w:val="0"/>
              <w:widowControl w:val="0"/>
              <w:kinsoku/>
              <w:wordWrap/>
              <w:overflowPunct/>
              <w:topLinePunct w:val="0"/>
              <w:autoSpaceDE/>
              <w:autoSpaceDN/>
              <w:bidi w:val="0"/>
              <w:adjustRightInd w:val="0"/>
              <w:snapToGrid w:val="0"/>
              <w:spacing w:line="240" w:lineRule="auto"/>
              <w:ind w:left="0" w:firstLine="0"/>
              <w:jc w:val="both"/>
              <w:textAlignment w:val="auto"/>
              <w:rPr>
                <w:rFonts w:hint="eastAsia" w:ascii="Times New Roman" w:hAnsi="Times New Roman" w:eastAsia="仿宋_GB2312" w:cs="仿宋_GB2312"/>
                <w:b w:val="0"/>
                <w:bCs w:val="0"/>
                <w:snapToGrid w:val="0"/>
                <w:kern w:val="0"/>
                <w:sz w:val="24"/>
                <w:szCs w:val="24"/>
                <w:highlight w:val="none"/>
                <w:lang w:val="en-US" w:eastAsia="zh-CN" w:bidi="ar-SA"/>
              </w:rPr>
            </w:pPr>
            <w:r>
              <w:rPr>
                <w:rFonts w:hint="eastAsia" w:ascii="Times New Roman" w:hAnsi="Times New Roman" w:eastAsia="仿宋_GB2312" w:cs="仿宋_GB2312"/>
                <w:b w:val="0"/>
                <w:bCs w:val="0"/>
                <w:snapToGrid w:val="0"/>
                <w:kern w:val="0"/>
                <w:sz w:val="24"/>
                <w:szCs w:val="24"/>
                <w:highlight w:val="none"/>
              </w:rPr>
              <w:t>工业遗产活化利用率（%）</w:t>
            </w:r>
            <w:r>
              <w:rPr>
                <w:rFonts w:hint="eastAsia" w:ascii="Times New Roman" w:hAnsi="Times New Roman" w:eastAsia="仿宋_GB2312" w:cs="仿宋_GB2312"/>
                <w:b w:val="0"/>
                <w:bCs w:val="0"/>
                <w:snapToGrid w:val="0"/>
                <w:kern w:val="0"/>
                <w:sz w:val="24"/>
                <w:szCs w:val="24"/>
                <w:highlight w:val="none"/>
                <w:lang w:val="en-US" w:eastAsia="zh-CN"/>
              </w:rPr>
              <w:t>*</w:t>
            </w:r>
          </w:p>
        </w:tc>
        <w:tc>
          <w:tcPr>
            <w:tcW w:w="1357" w:type="pct"/>
            <w:vAlign w:val="center"/>
          </w:tcPr>
          <w:p w14:paraId="681C5DE2">
            <w:pPr>
              <w:keepNext w:val="0"/>
              <w:keepLines w:val="0"/>
              <w:pageBreakBefore w:val="0"/>
              <w:widowControl w:val="0"/>
              <w:kinsoku/>
              <w:wordWrap/>
              <w:overflowPunct/>
              <w:topLinePunct w:val="0"/>
              <w:autoSpaceDE/>
              <w:autoSpaceDN/>
              <w:bidi w:val="0"/>
              <w:adjustRightInd w:val="0"/>
              <w:snapToGrid w:val="0"/>
              <w:spacing w:line="240" w:lineRule="auto"/>
              <w:ind w:left="0" w:firstLine="0"/>
              <w:jc w:val="center"/>
              <w:textAlignment w:val="auto"/>
              <w:rPr>
                <w:rFonts w:hint="eastAsia" w:ascii="Times New Roman" w:hAnsi="Times New Roman" w:eastAsia="仿宋_GB2312" w:cs="仿宋_GB2312"/>
                <w:b w:val="0"/>
                <w:bCs w:val="0"/>
                <w:snapToGrid w:val="0"/>
                <w:kern w:val="0"/>
                <w:sz w:val="24"/>
                <w:szCs w:val="24"/>
                <w:highlight w:val="none"/>
                <w:lang w:val="en-US" w:eastAsia="zh-CN" w:bidi="ar-SA"/>
              </w:rPr>
            </w:pPr>
            <w:r>
              <w:rPr>
                <w:rFonts w:hint="eastAsia" w:ascii="Times New Roman" w:hAnsi="Times New Roman" w:eastAsia="仿宋_GB2312" w:cs="仿宋_GB2312"/>
                <w:b w:val="0"/>
                <w:bCs w:val="0"/>
                <w:snapToGrid w:val="0"/>
                <w:kern w:val="0"/>
                <w:sz w:val="24"/>
                <w:szCs w:val="24"/>
                <w:highlight w:val="none"/>
                <w:lang w:val="en-US" w:eastAsia="zh-CN"/>
              </w:rPr>
              <w:t>85</w:t>
            </w:r>
          </w:p>
        </w:tc>
        <w:tc>
          <w:tcPr>
            <w:tcW w:w="468" w:type="pct"/>
            <w:vAlign w:val="center"/>
          </w:tcPr>
          <w:p w14:paraId="21716C1B">
            <w:pPr>
              <w:keepNext w:val="0"/>
              <w:keepLines w:val="0"/>
              <w:pageBreakBefore w:val="0"/>
              <w:widowControl w:val="0"/>
              <w:kinsoku/>
              <w:wordWrap/>
              <w:overflowPunct/>
              <w:topLinePunct w:val="0"/>
              <w:autoSpaceDE/>
              <w:autoSpaceDN/>
              <w:bidi w:val="0"/>
              <w:adjustRightInd w:val="0"/>
              <w:snapToGrid w:val="0"/>
              <w:spacing w:line="240" w:lineRule="auto"/>
              <w:ind w:left="0" w:firstLine="0"/>
              <w:jc w:val="center"/>
              <w:textAlignment w:val="auto"/>
              <w:rPr>
                <w:rFonts w:hint="eastAsia" w:ascii="Times New Roman" w:hAnsi="Times New Roman" w:eastAsia="仿宋_GB2312" w:cs="仿宋_GB2312"/>
                <w:b w:val="0"/>
                <w:bCs w:val="0"/>
                <w:snapToGrid w:val="0"/>
                <w:kern w:val="0"/>
                <w:sz w:val="24"/>
                <w:szCs w:val="24"/>
                <w:highlight w:val="none"/>
                <w:lang w:val="en-US" w:eastAsia="zh-CN" w:bidi="ar-SA"/>
              </w:rPr>
            </w:pPr>
            <w:r>
              <w:rPr>
                <w:rFonts w:hint="eastAsia" w:ascii="Times New Roman" w:hAnsi="Times New Roman" w:eastAsia="仿宋_GB2312" w:cs="仿宋_GB2312"/>
                <w:b w:val="0"/>
                <w:bCs w:val="0"/>
                <w:snapToGrid w:val="0"/>
                <w:kern w:val="0"/>
                <w:sz w:val="24"/>
                <w:szCs w:val="24"/>
                <w:highlight w:val="none"/>
              </w:rPr>
              <w:t>市域</w:t>
            </w:r>
          </w:p>
        </w:tc>
        <w:tc>
          <w:tcPr>
            <w:tcW w:w="1040" w:type="pct"/>
            <w:vAlign w:val="center"/>
          </w:tcPr>
          <w:p w14:paraId="3F03C196">
            <w:pPr>
              <w:keepNext w:val="0"/>
              <w:keepLines w:val="0"/>
              <w:pageBreakBefore w:val="0"/>
              <w:widowControl w:val="0"/>
              <w:kinsoku/>
              <w:wordWrap/>
              <w:overflowPunct/>
              <w:topLinePunct w:val="0"/>
              <w:autoSpaceDE/>
              <w:autoSpaceDN/>
              <w:bidi w:val="0"/>
              <w:adjustRightInd w:val="0"/>
              <w:snapToGrid w:val="0"/>
              <w:spacing w:line="240" w:lineRule="auto"/>
              <w:ind w:left="0" w:firstLine="0"/>
              <w:jc w:val="center"/>
              <w:textAlignment w:val="auto"/>
              <w:rPr>
                <w:rFonts w:hint="eastAsia" w:ascii="Times New Roman" w:hAnsi="Times New Roman" w:eastAsia="仿宋_GB2312" w:cs="仿宋_GB2312"/>
                <w:b w:val="0"/>
                <w:bCs w:val="0"/>
                <w:snapToGrid w:val="0"/>
                <w:kern w:val="0"/>
                <w:sz w:val="24"/>
                <w:szCs w:val="24"/>
                <w:highlight w:val="none"/>
                <w:lang w:val="en-US" w:eastAsia="zh-CN" w:bidi="ar-SA"/>
              </w:rPr>
            </w:pPr>
            <w:r>
              <w:rPr>
                <w:rFonts w:hint="eastAsia" w:ascii="Times New Roman" w:hAnsi="Times New Roman" w:eastAsia="仿宋_GB2312" w:cs="仿宋_GB2312"/>
                <w:b w:val="0"/>
                <w:bCs w:val="0"/>
                <w:snapToGrid w:val="0"/>
                <w:kern w:val="0"/>
                <w:sz w:val="24"/>
                <w:szCs w:val="24"/>
                <w:highlight w:val="none"/>
                <w:lang w:eastAsia="zh-CN"/>
              </w:rPr>
              <w:t>市文旅局</w:t>
            </w:r>
          </w:p>
        </w:tc>
      </w:tr>
      <w:tr w14:paraId="7CBCE5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2" w:hRule="exact"/>
          <w:jc w:val="center"/>
        </w:trPr>
        <w:tc>
          <w:tcPr>
            <w:tcW w:w="261" w:type="pct"/>
            <w:vMerge w:val="restart"/>
            <w:vAlign w:val="center"/>
          </w:tcPr>
          <w:p w14:paraId="62D3EA2D">
            <w:pPr>
              <w:keepNext w:val="0"/>
              <w:keepLines w:val="0"/>
              <w:pageBreakBefore w:val="0"/>
              <w:widowControl w:val="0"/>
              <w:kinsoku/>
              <w:wordWrap/>
              <w:overflowPunct/>
              <w:topLinePunct w:val="0"/>
              <w:autoSpaceDE/>
              <w:autoSpaceDN/>
              <w:bidi w:val="0"/>
              <w:spacing w:line="240" w:lineRule="auto"/>
              <w:ind w:left="0" w:firstLine="0"/>
              <w:jc w:val="both"/>
              <w:textAlignment w:val="auto"/>
              <w:rPr>
                <w:rFonts w:ascii="Times New Roman" w:hAnsi="Times New Roman" w:eastAsia="仿宋_GB2312" w:cs="仿宋_GB2312"/>
                <w:b w:val="0"/>
                <w:bCs w:val="0"/>
                <w:sz w:val="24"/>
                <w:szCs w:val="24"/>
                <w:highlight w:val="none"/>
              </w:rPr>
            </w:pPr>
            <w:r>
              <w:rPr>
                <w:rFonts w:hint="eastAsia" w:ascii="Times New Roman" w:hAnsi="Times New Roman" w:eastAsia="仿宋_GB2312" w:cs="仿宋_GB2312"/>
                <w:b w:val="0"/>
                <w:bCs w:val="0"/>
                <w:sz w:val="24"/>
                <w:szCs w:val="24"/>
                <w:highlight w:val="none"/>
              </w:rPr>
              <w:t>环境</w:t>
            </w:r>
          </w:p>
          <w:p w14:paraId="4B1ECB32">
            <w:pPr>
              <w:keepNext w:val="0"/>
              <w:keepLines w:val="0"/>
              <w:pageBreakBefore w:val="0"/>
              <w:widowControl w:val="0"/>
              <w:kinsoku/>
              <w:wordWrap/>
              <w:overflowPunct/>
              <w:topLinePunct w:val="0"/>
              <w:autoSpaceDE/>
              <w:autoSpaceDN/>
              <w:bidi w:val="0"/>
              <w:spacing w:line="240" w:lineRule="auto"/>
              <w:ind w:left="0" w:firstLine="0"/>
              <w:jc w:val="both"/>
              <w:textAlignment w:val="auto"/>
              <w:rPr>
                <w:rFonts w:ascii="Times New Roman" w:hAnsi="Times New Roman" w:eastAsia="仿宋_GB2312" w:cs="仿宋_GB2312"/>
                <w:b w:val="0"/>
                <w:bCs w:val="0"/>
                <w:sz w:val="24"/>
                <w:szCs w:val="24"/>
                <w:highlight w:val="none"/>
              </w:rPr>
            </w:pPr>
            <w:r>
              <w:rPr>
                <w:rFonts w:hint="eastAsia" w:ascii="Times New Roman" w:hAnsi="Times New Roman" w:eastAsia="仿宋_GB2312" w:cs="仿宋_GB2312"/>
                <w:b w:val="0"/>
                <w:bCs w:val="0"/>
                <w:sz w:val="24"/>
                <w:szCs w:val="24"/>
                <w:highlight w:val="none"/>
              </w:rPr>
              <w:t>优美</w:t>
            </w:r>
          </w:p>
        </w:tc>
        <w:tc>
          <w:tcPr>
            <w:tcW w:w="314" w:type="pct"/>
            <w:vAlign w:val="center"/>
          </w:tcPr>
          <w:p w14:paraId="185EBE63">
            <w:pPr>
              <w:keepNext w:val="0"/>
              <w:keepLines w:val="0"/>
              <w:pageBreakBefore w:val="0"/>
              <w:widowControl w:val="0"/>
              <w:numPr>
                <w:ilvl w:val="0"/>
                <w:numId w:val="3"/>
              </w:numPr>
              <w:kinsoku/>
              <w:wordWrap/>
              <w:overflowPunct/>
              <w:topLinePunct w:val="0"/>
              <w:autoSpaceDE/>
              <w:autoSpaceDN/>
              <w:bidi w:val="0"/>
              <w:spacing w:line="240" w:lineRule="auto"/>
              <w:ind w:left="0" w:leftChars="0" w:firstLine="0" w:firstLineChars="0"/>
              <w:jc w:val="center"/>
              <w:textAlignment w:val="auto"/>
              <w:rPr>
                <w:rFonts w:hint="eastAsia" w:ascii="Times New Roman" w:hAnsi="Times New Roman" w:eastAsia="仿宋_GB2312" w:cs="仿宋_GB2312"/>
                <w:b w:val="0"/>
                <w:bCs w:val="0"/>
                <w:kern w:val="2"/>
                <w:sz w:val="24"/>
                <w:szCs w:val="24"/>
                <w:highlight w:val="none"/>
                <w:lang w:val="en-US" w:eastAsia="zh-CN" w:bidi="ar-SA"/>
              </w:rPr>
            </w:pPr>
          </w:p>
        </w:tc>
        <w:tc>
          <w:tcPr>
            <w:tcW w:w="1557" w:type="pct"/>
            <w:vAlign w:val="center"/>
          </w:tcPr>
          <w:p w14:paraId="6A4EF1AF">
            <w:pPr>
              <w:keepNext w:val="0"/>
              <w:keepLines w:val="0"/>
              <w:pageBreakBefore w:val="0"/>
              <w:widowControl w:val="0"/>
              <w:kinsoku/>
              <w:wordWrap/>
              <w:overflowPunct/>
              <w:topLinePunct w:val="0"/>
              <w:autoSpaceDE/>
              <w:autoSpaceDN/>
              <w:bidi w:val="0"/>
              <w:adjustRightInd w:val="0"/>
              <w:snapToGrid w:val="0"/>
              <w:spacing w:line="240" w:lineRule="auto"/>
              <w:ind w:left="0" w:firstLine="0"/>
              <w:jc w:val="both"/>
              <w:textAlignment w:val="auto"/>
              <w:rPr>
                <w:rFonts w:ascii="Times New Roman" w:hAnsi="Times New Roman" w:eastAsia="仿宋_GB2312" w:cs="仿宋_GB2312"/>
                <w:b w:val="0"/>
                <w:bCs w:val="0"/>
                <w:snapToGrid w:val="0"/>
                <w:kern w:val="0"/>
                <w:sz w:val="24"/>
                <w:szCs w:val="24"/>
                <w:highlight w:val="none"/>
              </w:rPr>
            </w:pPr>
            <w:r>
              <w:rPr>
                <w:rFonts w:hint="eastAsia" w:ascii="Times New Roman" w:hAnsi="Times New Roman" w:eastAsia="仿宋_GB2312" w:cs="仿宋_GB2312"/>
                <w:b w:val="0"/>
                <w:bCs w:val="0"/>
                <w:snapToGrid w:val="0"/>
                <w:kern w:val="0"/>
                <w:sz w:val="24"/>
                <w:szCs w:val="24"/>
                <w:highlight w:val="none"/>
                <w:lang w:val="en-US" w:eastAsia="zh-CN"/>
              </w:rPr>
              <w:t>环境空气质量达标</w:t>
            </w:r>
          </w:p>
        </w:tc>
        <w:tc>
          <w:tcPr>
            <w:tcW w:w="1357" w:type="pct"/>
            <w:vAlign w:val="center"/>
          </w:tcPr>
          <w:p w14:paraId="107BD188">
            <w:pPr>
              <w:keepNext w:val="0"/>
              <w:keepLines w:val="0"/>
              <w:pageBreakBefore w:val="0"/>
              <w:widowControl w:val="0"/>
              <w:kinsoku/>
              <w:wordWrap/>
              <w:overflowPunct/>
              <w:topLinePunct w:val="0"/>
              <w:autoSpaceDE/>
              <w:autoSpaceDN/>
              <w:bidi w:val="0"/>
              <w:adjustRightInd w:val="0"/>
              <w:snapToGrid w:val="0"/>
              <w:spacing w:line="240" w:lineRule="auto"/>
              <w:ind w:left="0" w:firstLine="0"/>
              <w:jc w:val="center"/>
              <w:textAlignment w:val="auto"/>
              <w:rPr>
                <w:rFonts w:ascii="Times New Roman" w:hAnsi="Times New Roman" w:eastAsia="仿宋_GB2312" w:cs="仿宋_GB2312"/>
                <w:b w:val="0"/>
                <w:bCs w:val="0"/>
                <w:snapToGrid w:val="0"/>
                <w:kern w:val="0"/>
                <w:sz w:val="24"/>
                <w:szCs w:val="24"/>
                <w:highlight w:val="none"/>
              </w:rPr>
            </w:pPr>
            <w:r>
              <w:rPr>
                <w:rFonts w:hint="eastAsia" w:ascii="Times New Roman" w:hAnsi="Times New Roman" w:eastAsia="仿宋_GB2312" w:cs="仿宋_GB2312"/>
                <w:b w:val="0"/>
                <w:bCs w:val="0"/>
                <w:snapToGrid w:val="0"/>
                <w:kern w:val="0"/>
                <w:sz w:val="24"/>
                <w:szCs w:val="24"/>
                <w:highlight w:val="none"/>
              </w:rPr>
              <w:t>完成省下达目标</w:t>
            </w:r>
          </w:p>
        </w:tc>
        <w:tc>
          <w:tcPr>
            <w:tcW w:w="468" w:type="pct"/>
            <w:vAlign w:val="center"/>
          </w:tcPr>
          <w:p w14:paraId="0D125C68">
            <w:pPr>
              <w:keepNext w:val="0"/>
              <w:keepLines w:val="0"/>
              <w:pageBreakBefore w:val="0"/>
              <w:widowControl w:val="0"/>
              <w:kinsoku/>
              <w:wordWrap/>
              <w:overflowPunct/>
              <w:topLinePunct w:val="0"/>
              <w:autoSpaceDE/>
              <w:autoSpaceDN/>
              <w:bidi w:val="0"/>
              <w:adjustRightInd w:val="0"/>
              <w:snapToGrid w:val="0"/>
              <w:spacing w:line="240" w:lineRule="auto"/>
              <w:ind w:left="0" w:firstLine="0"/>
              <w:jc w:val="center"/>
              <w:textAlignment w:val="auto"/>
              <w:rPr>
                <w:rFonts w:ascii="Times New Roman" w:hAnsi="Times New Roman" w:eastAsia="仿宋_GB2312" w:cs="仿宋_GB2312"/>
                <w:b w:val="0"/>
                <w:bCs w:val="0"/>
                <w:snapToGrid w:val="0"/>
                <w:kern w:val="0"/>
                <w:sz w:val="24"/>
                <w:szCs w:val="24"/>
                <w:highlight w:val="none"/>
              </w:rPr>
            </w:pPr>
            <w:r>
              <w:rPr>
                <w:rFonts w:hint="eastAsia" w:ascii="Times New Roman" w:hAnsi="Times New Roman" w:eastAsia="仿宋_GB2312" w:cs="仿宋_GB2312"/>
                <w:b w:val="0"/>
                <w:bCs w:val="0"/>
                <w:snapToGrid w:val="0"/>
                <w:kern w:val="0"/>
                <w:sz w:val="24"/>
                <w:szCs w:val="24"/>
                <w:highlight w:val="none"/>
              </w:rPr>
              <w:t>城区</w:t>
            </w:r>
          </w:p>
        </w:tc>
        <w:tc>
          <w:tcPr>
            <w:tcW w:w="1040" w:type="pct"/>
            <w:vAlign w:val="center"/>
          </w:tcPr>
          <w:p w14:paraId="14FD9295">
            <w:pPr>
              <w:keepNext w:val="0"/>
              <w:keepLines w:val="0"/>
              <w:pageBreakBefore w:val="0"/>
              <w:widowControl w:val="0"/>
              <w:kinsoku/>
              <w:wordWrap/>
              <w:overflowPunct/>
              <w:topLinePunct w:val="0"/>
              <w:autoSpaceDE/>
              <w:autoSpaceDN/>
              <w:bidi w:val="0"/>
              <w:adjustRightInd w:val="0"/>
              <w:snapToGrid w:val="0"/>
              <w:spacing w:line="240" w:lineRule="auto"/>
              <w:ind w:left="0" w:firstLine="0"/>
              <w:jc w:val="center"/>
              <w:textAlignment w:val="auto"/>
              <w:rPr>
                <w:rFonts w:ascii="Times New Roman" w:hAnsi="Times New Roman" w:eastAsia="仿宋_GB2312" w:cs="仿宋_GB2312"/>
                <w:b w:val="0"/>
                <w:bCs w:val="0"/>
                <w:snapToGrid w:val="0"/>
                <w:kern w:val="0"/>
                <w:sz w:val="24"/>
                <w:szCs w:val="24"/>
                <w:highlight w:val="none"/>
              </w:rPr>
            </w:pPr>
            <w:r>
              <w:rPr>
                <w:rFonts w:hint="eastAsia" w:ascii="Times New Roman" w:hAnsi="Times New Roman" w:eastAsia="仿宋_GB2312" w:cs="仿宋_GB2312"/>
                <w:b w:val="0"/>
                <w:bCs w:val="0"/>
                <w:snapToGrid w:val="0"/>
                <w:kern w:val="0"/>
                <w:sz w:val="24"/>
                <w:szCs w:val="24"/>
                <w:highlight w:val="none"/>
              </w:rPr>
              <w:t>市生态环境局</w:t>
            </w:r>
          </w:p>
        </w:tc>
      </w:tr>
      <w:tr w14:paraId="5EBF28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exact"/>
          <w:jc w:val="center"/>
        </w:trPr>
        <w:tc>
          <w:tcPr>
            <w:tcW w:w="261" w:type="pct"/>
            <w:vMerge w:val="continue"/>
            <w:vAlign w:val="center"/>
          </w:tcPr>
          <w:p w14:paraId="26E210D4">
            <w:pPr>
              <w:keepNext w:val="0"/>
              <w:keepLines w:val="0"/>
              <w:pageBreakBefore w:val="0"/>
              <w:widowControl w:val="0"/>
              <w:kinsoku/>
              <w:wordWrap/>
              <w:overflowPunct/>
              <w:topLinePunct w:val="0"/>
              <w:autoSpaceDE/>
              <w:autoSpaceDN/>
              <w:bidi w:val="0"/>
              <w:spacing w:line="240" w:lineRule="auto"/>
              <w:ind w:left="0" w:firstLine="0"/>
              <w:jc w:val="both"/>
              <w:textAlignment w:val="auto"/>
              <w:rPr>
                <w:rFonts w:ascii="Times New Roman" w:hAnsi="Times New Roman" w:eastAsia="仿宋_GB2312" w:cs="仿宋_GB2312"/>
                <w:b w:val="0"/>
                <w:bCs w:val="0"/>
                <w:sz w:val="24"/>
                <w:szCs w:val="24"/>
                <w:highlight w:val="none"/>
              </w:rPr>
            </w:pPr>
          </w:p>
        </w:tc>
        <w:tc>
          <w:tcPr>
            <w:tcW w:w="314" w:type="pct"/>
            <w:vAlign w:val="center"/>
          </w:tcPr>
          <w:p w14:paraId="01A319F5">
            <w:pPr>
              <w:keepNext w:val="0"/>
              <w:keepLines w:val="0"/>
              <w:pageBreakBefore w:val="0"/>
              <w:widowControl w:val="0"/>
              <w:numPr>
                <w:ilvl w:val="0"/>
                <w:numId w:val="3"/>
              </w:numPr>
              <w:kinsoku/>
              <w:wordWrap/>
              <w:overflowPunct/>
              <w:topLinePunct w:val="0"/>
              <w:autoSpaceDE/>
              <w:autoSpaceDN/>
              <w:bidi w:val="0"/>
              <w:spacing w:line="240" w:lineRule="auto"/>
              <w:ind w:left="0" w:leftChars="0" w:firstLine="0" w:firstLineChars="0"/>
              <w:jc w:val="center"/>
              <w:textAlignment w:val="auto"/>
              <w:rPr>
                <w:rFonts w:ascii="Times New Roman" w:hAnsi="Times New Roman" w:eastAsia="仿宋_GB2312" w:cs="仿宋_GB2312"/>
                <w:b w:val="0"/>
                <w:bCs w:val="0"/>
                <w:kern w:val="2"/>
                <w:sz w:val="24"/>
                <w:szCs w:val="24"/>
                <w:highlight w:val="none"/>
                <w:lang w:val="en-US" w:eastAsia="zh-CN" w:bidi="ar-SA"/>
              </w:rPr>
            </w:pPr>
          </w:p>
        </w:tc>
        <w:tc>
          <w:tcPr>
            <w:tcW w:w="1557" w:type="pct"/>
            <w:vAlign w:val="center"/>
          </w:tcPr>
          <w:p w14:paraId="4CD9B471">
            <w:pPr>
              <w:keepNext w:val="0"/>
              <w:keepLines w:val="0"/>
              <w:pageBreakBefore w:val="0"/>
              <w:widowControl w:val="0"/>
              <w:kinsoku/>
              <w:wordWrap/>
              <w:overflowPunct/>
              <w:topLinePunct w:val="0"/>
              <w:autoSpaceDE/>
              <w:autoSpaceDN/>
              <w:bidi w:val="0"/>
              <w:adjustRightInd w:val="0"/>
              <w:snapToGrid w:val="0"/>
              <w:spacing w:line="240" w:lineRule="auto"/>
              <w:ind w:left="0" w:firstLine="0"/>
              <w:jc w:val="both"/>
              <w:textAlignment w:val="auto"/>
              <w:rPr>
                <w:rFonts w:ascii="Times New Roman" w:hAnsi="Times New Roman" w:eastAsia="仿宋_GB2312" w:cs="仿宋_GB2312"/>
                <w:b w:val="0"/>
                <w:bCs w:val="0"/>
                <w:snapToGrid w:val="0"/>
                <w:kern w:val="0"/>
                <w:sz w:val="24"/>
                <w:szCs w:val="24"/>
                <w:highlight w:val="none"/>
              </w:rPr>
            </w:pPr>
            <w:r>
              <w:rPr>
                <w:rFonts w:hint="eastAsia" w:ascii="Times New Roman" w:hAnsi="Times New Roman" w:eastAsia="仿宋_GB2312" w:cs="仿宋_GB2312"/>
                <w:b w:val="0"/>
                <w:bCs w:val="0"/>
                <w:snapToGrid w:val="0"/>
                <w:kern w:val="0"/>
                <w:sz w:val="24"/>
                <w:szCs w:val="24"/>
                <w:highlight w:val="none"/>
              </w:rPr>
              <w:t>美丽河湖建成比例（%）</w:t>
            </w:r>
          </w:p>
        </w:tc>
        <w:tc>
          <w:tcPr>
            <w:tcW w:w="1357" w:type="pct"/>
            <w:vAlign w:val="center"/>
          </w:tcPr>
          <w:p w14:paraId="0893E26E">
            <w:pPr>
              <w:keepNext w:val="0"/>
              <w:keepLines w:val="0"/>
              <w:pageBreakBefore w:val="0"/>
              <w:widowControl w:val="0"/>
              <w:kinsoku/>
              <w:wordWrap/>
              <w:overflowPunct/>
              <w:topLinePunct w:val="0"/>
              <w:autoSpaceDE/>
              <w:autoSpaceDN/>
              <w:bidi w:val="0"/>
              <w:adjustRightInd w:val="0"/>
              <w:snapToGrid w:val="0"/>
              <w:spacing w:line="240" w:lineRule="auto"/>
              <w:ind w:left="0" w:firstLine="0"/>
              <w:jc w:val="center"/>
              <w:textAlignment w:val="auto"/>
              <w:rPr>
                <w:rFonts w:hint="default" w:ascii="Times New Roman" w:hAnsi="Times New Roman" w:eastAsia="仿宋_GB2312" w:cs="仿宋_GB2312"/>
                <w:b w:val="0"/>
                <w:bCs w:val="0"/>
                <w:snapToGrid w:val="0"/>
                <w:kern w:val="0"/>
                <w:sz w:val="24"/>
                <w:szCs w:val="24"/>
                <w:highlight w:val="none"/>
                <w:lang w:val="en-US" w:eastAsia="zh-CN"/>
              </w:rPr>
            </w:pPr>
            <w:r>
              <w:rPr>
                <w:rFonts w:hint="eastAsia" w:ascii="Times New Roman" w:hAnsi="Times New Roman" w:eastAsia="仿宋_GB2312" w:cs="仿宋_GB2312"/>
                <w:b w:val="0"/>
                <w:bCs w:val="0"/>
                <w:snapToGrid w:val="0"/>
                <w:kern w:val="0"/>
                <w:sz w:val="24"/>
                <w:szCs w:val="24"/>
                <w:highlight w:val="none"/>
                <w:lang w:val="en-US" w:eastAsia="zh-CN"/>
              </w:rPr>
              <w:t>40</w:t>
            </w:r>
          </w:p>
        </w:tc>
        <w:tc>
          <w:tcPr>
            <w:tcW w:w="468" w:type="pct"/>
            <w:vAlign w:val="center"/>
          </w:tcPr>
          <w:p w14:paraId="516E798E">
            <w:pPr>
              <w:keepNext w:val="0"/>
              <w:keepLines w:val="0"/>
              <w:pageBreakBefore w:val="0"/>
              <w:widowControl w:val="0"/>
              <w:kinsoku/>
              <w:wordWrap/>
              <w:overflowPunct/>
              <w:topLinePunct w:val="0"/>
              <w:autoSpaceDE/>
              <w:autoSpaceDN/>
              <w:bidi w:val="0"/>
              <w:adjustRightInd w:val="0"/>
              <w:snapToGrid w:val="0"/>
              <w:spacing w:line="240" w:lineRule="auto"/>
              <w:ind w:left="0" w:firstLine="0"/>
              <w:jc w:val="center"/>
              <w:textAlignment w:val="auto"/>
              <w:rPr>
                <w:rFonts w:ascii="Times New Roman" w:hAnsi="Times New Roman" w:eastAsia="仿宋_GB2312" w:cs="仿宋_GB2312"/>
                <w:b w:val="0"/>
                <w:bCs w:val="0"/>
                <w:snapToGrid w:val="0"/>
                <w:kern w:val="0"/>
                <w:sz w:val="24"/>
                <w:szCs w:val="24"/>
                <w:highlight w:val="none"/>
              </w:rPr>
            </w:pPr>
            <w:r>
              <w:rPr>
                <w:rFonts w:hint="eastAsia" w:ascii="Times New Roman" w:hAnsi="Times New Roman" w:eastAsia="仿宋_GB2312" w:cs="仿宋_GB2312"/>
                <w:b w:val="0"/>
                <w:bCs w:val="0"/>
                <w:snapToGrid w:val="0"/>
                <w:kern w:val="0"/>
                <w:sz w:val="24"/>
                <w:szCs w:val="24"/>
                <w:highlight w:val="none"/>
              </w:rPr>
              <w:t>城区</w:t>
            </w:r>
          </w:p>
        </w:tc>
        <w:tc>
          <w:tcPr>
            <w:tcW w:w="1040" w:type="pct"/>
            <w:vAlign w:val="center"/>
          </w:tcPr>
          <w:p w14:paraId="60098C3D">
            <w:pPr>
              <w:keepNext w:val="0"/>
              <w:keepLines w:val="0"/>
              <w:pageBreakBefore w:val="0"/>
              <w:widowControl w:val="0"/>
              <w:kinsoku/>
              <w:wordWrap/>
              <w:overflowPunct/>
              <w:topLinePunct w:val="0"/>
              <w:autoSpaceDE/>
              <w:autoSpaceDN/>
              <w:bidi w:val="0"/>
              <w:adjustRightInd w:val="0"/>
              <w:snapToGrid w:val="0"/>
              <w:spacing w:line="240" w:lineRule="auto"/>
              <w:ind w:left="0" w:firstLine="0"/>
              <w:jc w:val="center"/>
              <w:textAlignment w:val="auto"/>
              <w:rPr>
                <w:rFonts w:hint="default" w:ascii="Times New Roman" w:hAnsi="Times New Roman" w:eastAsia="仿宋_GB2312" w:cs="仿宋_GB2312"/>
                <w:b w:val="0"/>
                <w:bCs w:val="0"/>
                <w:snapToGrid w:val="0"/>
                <w:kern w:val="0"/>
                <w:sz w:val="24"/>
                <w:szCs w:val="24"/>
                <w:highlight w:val="none"/>
                <w:lang w:val="en-US" w:eastAsia="zh-CN"/>
              </w:rPr>
            </w:pPr>
            <w:r>
              <w:rPr>
                <w:rFonts w:hint="eastAsia" w:ascii="Times New Roman" w:hAnsi="Times New Roman" w:eastAsia="仿宋_GB2312" w:cs="仿宋_GB2312"/>
                <w:b w:val="0"/>
                <w:bCs w:val="0"/>
                <w:snapToGrid w:val="0"/>
                <w:kern w:val="0"/>
                <w:sz w:val="24"/>
                <w:szCs w:val="24"/>
                <w:highlight w:val="none"/>
              </w:rPr>
              <w:t>市生态环境局</w:t>
            </w:r>
          </w:p>
        </w:tc>
      </w:tr>
      <w:tr w14:paraId="5377E1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exact"/>
          <w:jc w:val="center"/>
        </w:trPr>
        <w:tc>
          <w:tcPr>
            <w:tcW w:w="261" w:type="pct"/>
            <w:vMerge w:val="continue"/>
            <w:vAlign w:val="center"/>
          </w:tcPr>
          <w:p w14:paraId="6BA18EDA">
            <w:pPr>
              <w:keepNext w:val="0"/>
              <w:keepLines w:val="0"/>
              <w:pageBreakBefore w:val="0"/>
              <w:widowControl w:val="0"/>
              <w:kinsoku/>
              <w:wordWrap/>
              <w:overflowPunct/>
              <w:topLinePunct w:val="0"/>
              <w:autoSpaceDE/>
              <w:autoSpaceDN/>
              <w:bidi w:val="0"/>
              <w:spacing w:line="240" w:lineRule="auto"/>
              <w:ind w:left="0" w:firstLine="0"/>
              <w:jc w:val="both"/>
              <w:textAlignment w:val="auto"/>
              <w:rPr>
                <w:rFonts w:ascii="Times New Roman" w:hAnsi="Times New Roman" w:eastAsia="仿宋_GB2312" w:cs="仿宋_GB2312"/>
                <w:b w:val="0"/>
                <w:bCs w:val="0"/>
                <w:sz w:val="24"/>
                <w:szCs w:val="24"/>
                <w:highlight w:val="none"/>
              </w:rPr>
            </w:pPr>
          </w:p>
        </w:tc>
        <w:tc>
          <w:tcPr>
            <w:tcW w:w="314" w:type="pct"/>
            <w:vAlign w:val="center"/>
          </w:tcPr>
          <w:p w14:paraId="0EBCAD5A">
            <w:pPr>
              <w:keepNext w:val="0"/>
              <w:keepLines w:val="0"/>
              <w:pageBreakBefore w:val="0"/>
              <w:widowControl w:val="0"/>
              <w:numPr>
                <w:ilvl w:val="0"/>
                <w:numId w:val="3"/>
              </w:numPr>
              <w:kinsoku/>
              <w:wordWrap/>
              <w:overflowPunct/>
              <w:topLinePunct w:val="0"/>
              <w:autoSpaceDE/>
              <w:autoSpaceDN/>
              <w:bidi w:val="0"/>
              <w:spacing w:line="240" w:lineRule="auto"/>
              <w:ind w:left="0" w:leftChars="0" w:firstLine="0" w:firstLineChars="0"/>
              <w:jc w:val="center"/>
              <w:textAlignment w:val="auto"/>
              <w:rPr>
                <w:rFonts w:ascii="Times New Roman" w:hAnsi="Times New Roman" w:eastAsia="仿宋_GB2312" w:cs="仿宋_GB2312"/>
                <w:b w:val="0"/>
                <w:bCs w:val="0"/>
                <w:kern w:val="2"/>
                <w:sz w:val="24"/>
                <w:szCs w:val="24"/>
                <w:highlight w:val="none"/>
                <w:lang w:val="en-US" w:eastAsia="zh-CN" w:bidi="ar-SA"/>
              </w:rPr>
            </w:pPr>
          </w:p>
        </w:tc>
        <w:tc>
          <w:tcPr>
            <w:tcW w:w="1557" w:type="pct"/>
            <w:vAlign w:val="center"/>
          </w:tcPr>
          <w:p w14:paraId="05542A87">
            <w:pPr>
              <w:keepNext w:val="0"/>
              <w:keepLines w:val="0"/>
              <w:pageBreakBefore w:val="0"/>
              <w:widowControl w:val="0"/>
              <w:kinsoku/>
              <w:wordWrap/>
              <w:overflowPunct/>
              <w:topLinePunct w:val="0"/>
              <w:autoSpaceDE/>
              <w:autoSpaceDN/>
              <w:bidi w:val="0"/>
              <w:adjustRightInd w:val="0"/>
              <w:snapToGrid w:val="0"/>
              <w:spacing w:line="240" w:lineRule="auto"/>
              <w:ind w:left="0" w:firstLine="0"/>
              <w:jc w:val="both"/>
              <w:textAlignment w:val="auto"/>
              <w:rPr>
                <w:rFonts w:ascii="Times New Roman" w:hAnsi="Times New Roman" w:eastAsia="仿宋_GB2312" w:cs="仿宋_GB2312"/>
                <w:b w:val="0"/>
                <w:bCs w:val="0"/>
                <w:snapToGrid w:val="0"/>
                <w:kern w:val="0"/>
                <w:sz w:val="24"/>
                <w:szCs w:val="24"/>
                <w:highlight w:val="none"/>
              </w:rPr>
            </w:pPr>
            <w:r>
              <w:rPr>
                <w:rFonts w:hint="eastAsia" w:ascii="Times New Roman" w:hAnsi="Times New Roman" w:eastAsia="仿宋_GB2312" w:cs="仿宋_GB2312"/>
                <w:b w:val="0"/>
                <w:bCs w:val="0"/>
                <w:snapToGrid w:val="0"/>
                <w:kern w:val="0"/>
                <w:sz w:val="24"/>
                <w:szCs w:val="24"/>
                <w:highlight w:val="none"/>
              </w:rPr>
              <w:t>地表水水质优良比例（%）</w:t>
            </w:r>
          </w:p>
        </w:tc>
        <w:tc>
          <w:tcPr>
            <w:tcW w:w="1357" w:type="pct"/>
            <w:vAlign w:val="center"/>
          </w:tcPr>
          <w:p w14:paraId="3DC1539D">
            <w:pPr>
              <w:keepNext w:val="0"/>
              <w:keepLines w:val="0"/>
              <w:pageBreakBefore w:val="0"/>
              <w:widowControl w:val="0"/>
              <w:kinsoku/>
              <w:wordWrap/>
              <w:overflowPunct/>
              <w:topLinePunct w:val="0"/>
              <w:autoSpaceDE/>
              <w:autoSpaceDN/>
              <w:bidi w:val="0"/>
              <w:adjustRightInd w:val="0"/>
              <w:snapToGrid w:val="0"/>
              <w:spacing w:line="240" w:lineRule="auto"/>
              <w:ind w:left="0" w:firstLine="0"/>
              <w:jc w:val="center"/>
              <w:textAlignment w:val="auto"/>
              <w:rPr>
                <w:rFonts w:ascii="Times New Roman" w:hAnsi="Times New Roman" w:eastAsia="仿宋_GB2312" w:cs="仿宋_GB2312"/>
                <w:b w:val="0"/>
                <w:bCs w:val="0"/>
                <w:snapToGrid w:val="0"/>
                <w:kern w:val="0"/>
                <w:sz w:val="24"/>
                <w:szCs w:val="24"/>
                <w:highlight w:val="none"/>
              </w:rPr>
            </w:pPr>
            <w:r>
              <w:rPr>
                <w:rFonts w:hint="eastAsia" w:ascii="Times New Roman" w:hAnsi="Times New Roman" w:eastAsia="仿宋_GB2312" w:cs="仿宋_GB2312"/>
                <w:b w:val="0"/>
                <w:bCs w:val="0"/>
                <w:snapToGrid w:val="0"/>
                <w:kern w:val="0"/>
                <w:sz w:val="24"/>
                <w:szCs w:val="24"/>
                <w:highlight w:val="none"/>
              </w:rPr>
              <w:t>100</w:t>
            </w:r>
          </w:p>
        </w:tc>
        <w:tc>
          <w:tcPr>
            <w:tcW w:w="468" w:type="pct"/>
            <w:vAlign w:val="center"/>
          </w:tcPr>
          <w:p w14:paraId="2BD0EB46">
            <w:pPr>
              <w:keepNext w:val="0"/>
              <w:keepLines w:val="0"/>
              <w:pageBreakBefore w:val="0"/>
              <w:widowControl w:val="0"/>
              <w:kinsoku/>
              <w:wordWrap/>
              <w:overflowPunct/>
              <w:topLinePunct w:val="0"/>
              <w:autoSpaceDE/>
              <w:autoSpaceDN/>
              <w:bidi w:val="0"/>
              <w:adjustRightInd w:val="0"/>
              <w:snapToGrid w:val="0"/>
              <w:spacing w:line="240" w:lineRule="auto"/>
              <w:ind w:left="0" w:firstLine="0"/>
              <w:jc w:val="center"/>
              <w:textAlignment w:val="auto"/>
              <w:rPr>
                <w:rFonts w:ascii="Times New Roman" w:hAnsi="Times New Roman" w:eastAsia="仿宋_GB2312" w:cs="仿宋_GB2312"/>
                <w:b w:val="0"/>
                <w:bCs w:val="0"/>
                <w:snapToGrid w:val="0"/>
                <w:kern w:val="0"/>
                <w:sz w:val="24"/>
                <w:szCs w:val="24"/>
                <w:highlight w:val="none"/>
              </w:rPr>
            </w:pPr>
            <w:r>
              <w:rPr>
                <w:rFonts w:hint="eastAsia" w:ascii="Times New Roman" w:hAnsi="Times New Roman" w:eastAsia="仿宋_GB2312" w:cs="仿宋_GB2312"/>
                <w:b w:val="0"/>
                <w:bCs w:val="0"/>
                <w:snapToGrid w:val="0"/>
                <w:kern w:val="0"/>
                <w:sz w:val="24"/>
                <w:szCs w:val="24"/>
                <w:highlight w:val="none"/>
              </w:rPr>
              <w:t>市域</w:t>
            </w:r>
          </w:p>
        </w:tc>
        <w:tc>
          <w:tcPr>
            <w:tcW w:w="1040" w:type="pct"/>
            <w:vAlign w:val="center"/>
          </w:tcPr>
          <w:p w14:paraId="1F97E886">
            <w:pPr>
              <w:keepNext w:val="0"/>
              <w:keepLines w:val="0"/>
              <w:pageBreakBefore w:val="0"/>
              <w:widowControl w:val="0"/>
              <w:kinsoku/>
              <w:wordWrap/>
              <w:overflowPunct/>
              <w:topLinePunct w:val="0"/>
              <w:autoSpaceDE/>
              <w:autoSpaceDN/>
              <w:bidi w:val="0"/>
              <w:adjustRightInd w:val="0"/>
              <w:snapToGrid w:val="0"/>
              <w:spacing w:line="240" w:lineRule="auto"/>
              <w:ind w:left="0" w:firstLine="0"/>
              <w:jc w:val="center"/>
              <w:textAlignment w:val="auto"/>
              <w:rPr>
                <w:rFonts w:ascii="Times New Roman" w:hAnsi="Times New Roman" w:eastAsia="仿宋_GB2312" w:cs="仿宋_GB2312"/>
                <w:b w:val="0"/>
                <w:bCs w:val="0"/>
                <w:snapToGrid w:val="0"/>
                <w:kern w:val="0"/>
                <w:sz w:val="24"/>
                <w:szCs w:val="24"/>
                <w:highlight w:val="none"/>
              </w:rPr>
            </w:pPr>
            <w:r>
              <w:rPr>
                <w:rFonts w:hint="eastAsia" w:ascii="Times New Roman" w:hAnsi="Times New Roman" w:eastAsia="仿宋_GB2312" w:cs="仿宋_GB2312"/>
                <w:b w:val="0"/>
                <w:bCs w:val="0"/>
                <w:snapToGrid w:val="0"/>
                <w:kern w:val="0"/>
                <w:sz w:val="24"/>
                <w:szCs w:val="24"/>
                <w:highlight w:val="none"/>
              </w:rPr>
              <w:t>市生态环境局</w:t>
            </w:r>
          </w:p>
        </w:tc>
      </w:tr>
      <w:tr w14:paraId="6FBB9F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exact"/>
          <w:jc w:val="center"/>
        </w:trPr>
        <w:tc>
          <w:tcPr>
            <w:tcW w:w="261" w:type="pct"/>
            <w:vMerge w:val="continue"/>
            <w:vAlign w:val="center"/>
          </w:tcPr>
          <w:p w14:paraId="5B3764B6">
            <w:pPr>
              <w:keepNext w:val="0"/>
              <w:keepLines w:val="0"/>
              <w:pageBreakBefore w:val="0"/>
              <w:widowControl w:val="0"/>
              <w:kinsoku/>
              <w:wordWrap/>
              <w:overflowPunct/>
              <w:topLinePunct w:val="0"/>
              <w:autoSpaceDE/>
              <w:autoSpaceDN/>
              <w:bidi w:val="0"/>
              <w:spacing w:line="240" w:lineRule="auto"/>
              <w:ind w:left="0" w:firstLine="0"/>
              <w:jc w:val="both"/>
              <w:textAlignment w:val="auto"/>
              <w:rPr>
                <w:rFonts w:ascii="Times New Roman" w:hAnsi="Times New Roman" w:eastAsia="仿宋_GB2312" w:cs="仿宋_GB2312"/>
                <w:b w:val="0"/>
                <w:bCs w:val="0"/>
                <w:sz w:val="24"/>
                <w:szCs w:val="24"/>
                <w:highlight w:val="none"/>
              </w:rPr>
            </w:pPr>
          </w:p>
        </w:tc>
        <w:tc>
          <w:tcPr>
            <w:tcW w:w="314" w:type="pct"/>
            <w:vAlign w:val="center"/>
          </w:tcPr>
          <w:p w14:paraId="79A26BEE">
            <w:pPr>
              <w:keepNext w:val="0"/>
              <w:keepLines w:val="0"/>
              <w:pageBreakBefore w:val="0"/>
              <w:widowControl w:val="0"/>
              <w:numPr>
                <w:ilvl w:val="0"/>
                <w:numId w:val="3"/>
              </w:numPr>
              <w:kinsoku/>
              <w:wordWrap/>
              <w:overflowPunct/>
              <w:topLinePunct w:val="0"/>
              <w:autoSpaceDE/>
              <w:autoSpaceDN/>
              <w:bidi w:val="0"/>
              <w:spacing w:line="240" w:lineRule="auto"/>
              <w:ind w:left="0" w:leftChars="0" w:firstLine="0" w:firstLineChars="0"/>
              <w:jc w:val="center"/>
              <w:textAlignment w:val="auto"/>
              <w:rPr>
                <w:rFonts w:hint="eastAsia" w:ascii="Times New Roman" w:hAnsi="Times New Roman" w:eastAsia="仿宋_GB2312" w:cs="仿宋_GB2312"/>
                <w:b w:val="0"/>
                <w:bCs w:val="0"/>
                <w:kern w:val="2"/>
                <w:sz w:val="24"/>
                <w:szCs w:val="24"/>
                <w:highlight w:val="none"/>
                <w:lang w:val="en-US" w:eastAsia="zh-CN" w:bidi="ar-SA"/>
              </w:rPr>
            </w:pPr>
          </w:p>
        </w:tc>
        <w:tc>
          <w:tcPr>
            <w:tcW w:w="1557" w:type="pct"/>
            <w:vAlign w:val="center"/>
          </w:tcPr>
          <w:p w14:paraId="701E839D">
            <w:pPr>
              <w:keepNext w:val="0"/>
              <w:keepLines w:val="0"/>
              <w:pageBreakBefore w:val="0"/>
              <w:widowControl w:val="0"/>
              <w:kinsoku/>
              <w:wordWrap/>
              <w:overflowPunct/>
              <w:topLinePunct w:val="0"/>
              <w:autoSpaceDE/>
              <w:autoSpaceDN/>
              <w:bidi w:val="0"/>
              <w:adjustRightInd w:val="0"/>
              <w:snapToGrid w:val="0"/>
              <w:spacing w:line="240" w:lineRule="auto"/>
              <w:ind w:left="0" w:firstLine="0"/>
              <w:jc w:val="both"/>
              <w:textAlignment w:val="auto"/>
              <w:rPr>
                <w:rFonts w:hint="default" w:ascii="Times New Roman" w:hAnsi="Times New Roman" w:eastAsia="仿宋_GB2312" w:cs="仿宋_GB2312"/>
                <w:b w:val="0"/>
                <w:bCs w:val="0"/>
                <w:snapToGrid w:val="0"/>
                <w:kern w:val="0"/>
                <w:sz w:val="24"/>
                <w:szCs w:val="24"/>
                <w:highlight w:val="none"/>
                <w:lang w:val="en-US" w:eastAsia="zh-CN"/>
              </w:rPr>
            </w:pPr>
            <w:r>
              <w:rPr>
                <w:rFonts w:hint="eastAsia" w:ascii="Times New Roman" w:hAnsi="Times New Roman" w:eastAsia="仿宋_GB2312" w:cs="仿宋_GB2312"/>
                <w:b w:val="0"/>
                <w:bCs w:val="0"/>
                <w:snapToGrid w:val="0"/>
                <w:kern w:val="0"/>
                <w:sz w:val="24"/>
                <w:szCs w:val="24"/>
                <w:highlight w:val="none"/>
                <w:lang w:val="en-US" w:eastAsia="zh-CN"/>
              </w:rPr>
              <w:t>城市生活污水集中收集率（%）</w:t>
            </w:r>
          </w:p>
        </w:tc>
        <w:tc>
          <w:tcPr>
            <w:tcW w:w="1357" w:type="pct"/>
            <w:vAlign w:val="center"/>
          </w:tcPr>
          <w:p w14:paraId="753EC574">
            <w:pPr>
              <w:keepNext w:val="0"/>
              <w:keepLines w:val="0"/>
              <w:pageBreakBefore w:val="0"/>
              <w:widowControl w:val="0"/>
              <w:kinsoku/>
              <w:wordWrap/>
              <w:overflowPunct/>
              <w:topLinePunct w:val="0"/>
              <w:autoSpaceDE/>
              <w:autoSpaceDN/>
              <w:bidi w:val="0"/>
              <w:adjustRightInd w:val="0"/>
              <w:snapToGrid w:val="0"/>
              <w:spacing w:line="240" w:lineRule="auto"/>
              <w:ind w:left="0" w:firstLine="0"/>
              <w:jc w:val="center"/>
              <w:textAlignment w:val="auto"/>
              <w:rPr>
                <w:rFonts w:hint="default" w:ascii="Times New Roman" w:hAnsi="Times New Roman" w:eastAsia="仿宋_GB2312" w:cs="仿宋_GB2312"/>
                <w:b w:val="0"/>
                <w:bCs w:val="0"/>
                <w:snapToGrid w:val="0"/>
                <w:kern w:val="0"/>
                <w:sz w:val="24"/>
                <w:szCs w:val="24"/>
                <w:highlight w:val="none"/>
                <w:lang w:val="en-US" w:eastAsia="zh-CN"/>
              </w:rPr>
            </w:pPr>
            <w:r>
              <w:rPr>
                <w:rFonts w:hint="eastAsia" w:ascii="Times New Roman" w:hAnsi="Times New Roman" w:eastAsia="仿宋_GB2312" w:cs="仿宋_GB2312"/>
                <w:b w:val="0"/>
                <w:bCs w:val="0"/>
                <w:snapToGrid w:val="0"/>
                <w:kern w:val="0"/>
                <w:sz w:val="24"/>
                <w:szCs w:val="24"/>
                <w:highlight w:val="none"/>
              </w:rPr>
              <w:t>≥</w:t>
            </w:r>
            <w:r>
              <w:rPr>
                <w:rFonts w:hint="eastAsia" w:ascii="Times New Roman" w:hAnsi="Times New Roman" w:eastAsia="仿宋_GB2312" w:cs="仿宋_GB2312"/>
                <w:b w:val="0"/>
                <w:bCs w:val="0"/>
                <w:snapToGrid w:val="0"/>
                <w:kern w:val="0"/>
                <w:sz w:val="24"/>
                <w:szCs w:val="24"/>
                <w:highlight w:val="none"/>
                <w:lang w:val="en-US" w:eastAsia="zh-CN"/>
              </w:rPr>
              <w:t>80</w:t>
            </w:r>
          </w:p>
        </w:tc>
        <w:tc>
          <w:tcPr>
            <w:tcW w:w="468" w:type="pct"/>
            <w:vAlign w:val="center"/>
          </w:tcPr>
          <w:p w14:paraId="3DDB8BEA">
            <w:pPr>
              <w:keepNext w:val="0"/>
              <w:keepLines w:val="0"/>
              <w:pageBreakBefore w:val="0"/>
              <w:widowControl w:val="0"/>
              <w:kinsoku/>
              <w:wordWrap/>
              <w:overflowPunct/>
              <w:topLinePunct w:val="0"/>
              <w:autoSpaceDE/>
              <w:autoSpaceDN/>
              <w:bidi w:val="0"/>
              <w:adjustRightInd w:val="0"/>
              <w:snapToGrid w:val="0"/>
              <w:spacing w:line="240" w:lineRule="auto"/>
              <w:ind w:left="0" w:firstLine="0"/>
              <w:jc w:val="center"/>
              <w:textAlignment w:val="auto"/>
              <w:rPr>
                <w:rFonts w:hint="eastAsia" w:ascii="Times New Roman" w:hAnsi="Times New Roman" w:eastAsia="仿宋_GB2312" w:cs="仿宋_GB2312"/>
                <w:b w:val="0"/>
                <w:bCs w:val="0"/>
                <w:snapToGrid w:val="0"/>
                <w:kern w:val="0"/>
                <w:sz w:val="24"/>
                <w:szCs w:val="24"/>
                <w:highlight w:val="none"/>
              </w:rPr>
            </w:pPr>
            <w:r>
              <w:rPr>
                <w:rFonts w:hint="eastAsia" w:ascii="Times New Roman" w:hAnsi="Times New Roman" w:eastAsia="仿宋_GB2312" w:cs="仿宋_GB2312"/>
                <w:b w:val="0"/>
                <w:bCs w:val="0"/>
                <w:sz w:val="24"/>
                <w:szCs w:val="24"/>
                <w:highlight w:val="none"/>
              </w:rPr>
              <w:t>城区</w:t>
            </w:r>
          </w:p>
        </w:tc>
        <w:tc>
          <w:tcPr>
            <w:tcW w:w="1040" w:type="pct"/>
            <w:vAlign w:val="center"/>
          </w:tcPr>
          <w:p w14:paraId="7CF9CFA7">
            <w:pPr>
              <w:keepNext w:val="0"/>
              <w:keepLines w:val="0"/>
              <w:pageBreakBefore w:val="0"/>
              <w:widowControl w:val="0"/>
              <w:kinsoku/>
              <w:wordWrap/>
              <w:overflowPunct/>
              <w:topLinePunct w:val="0"/>
              <w:autoSpaceDE/>
              <w:autoSpaceDN/>
              <w:bidi w:val="0"/>
              <w:adjustRightInd w:val="0"/>
              <w:snapToGrid w:val="0"/>
              <w:spacing w:line="240" w:lineRule="auto"/>
              <w:ind w:left="0" w:firstLine="0"/>
              <w:jc w:val="center"/>
              <w:textAlignment w:val="auto"/>
              <w:rPr>
                <w:rFonts w:hint="eastAsia" w:ascii="Times New Roman" w:hAnsi="Times New Roman" w:eastAsia="仿宋_GB2312" w:cs="仿宋_GB2312"/>
                <w:b w:val="0"/>
                <w:bCs w:val="0"/>
                <w:snapToGrid w:val="0"/>
                <w:kern w:val="0"/>
                <w:sz w:val="24"/>
                <w:szCs w:val="24"/>
                <w:highlight w:val="none"/>
                <w:lang w:eastAsia="zh-CN"/>
              </w:rPr>
            </w:pPr>
            <w:r>
              <w:rPr>
                <w:rFonts w:hint="eastAsia" w:ascii="Times New Roman" w:hAnsi="Times New Roman" w:eastAsia="仿宋_GB2312" w:cs="仿宋_GB2312"/>
                <w:b w:val="0"/>
                <w:bCs w:val="0"/>
                <w:snapToGrid w:val="0"/>
                <w:kern w:val="0"/>
                <w:sz w:val="24"/>
                <w:szCs w:val="24"/>
                <w:highlight w:val="none"/>
                <w:lang w:eastAsia="zh-CN"/>
              </w:rPr>
              <w:t>市城管委</w:t>
            </w:r>
          </w:p>
        </w:tc>
      </w:tr>
      <w:tr w14:paraId="1D0C6E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exact"/>
          <w:jc w:val="center"/>
        </w:trPr>
        <w:tc>
          <w:tcPr>
            <w:tcW w:w="261" w:type="pct"/>
            <w:vMerge w:val="continue"/>
            <w:vAlign w:val="center"/>
          </w:tcPr>
          <w:p w14:paraId="2B82E827">
            <w:pPr>
              <w:keepNext w:val="0"/>
              <w:keepLines w:val="0"/>
              <w:pageBreakBefore w:val="0"/>
              <w:widowControl w:val="0"/>
              <w:kinsoku/>
              <w:wordWrap/>
              <w:overflowPunct/>
              <w:topLinePunct w:val="0"/>
              <w:autoSpaceDE/>
              <w:autoSpaceDN/>
              <w:bidi w:val="0"/>
              <w:spacing w:line="240" w:lineRule="auto"/>
              <w:ind w:left="0" w:firstLine="0"/>
              <w:jc w:val="both"/>
              <w:textAlignment w:val="auto"/>
              <w:rPr>
                <w:rFonts w:hint="eastAsia" w:ascii="Times New Roman" w:hAnsi="Times New Roman" w:eastAsia="仿宋_GB2312" w:cs="仿宋_GB2312"/>
                <w:b w:val="0"/>
                <w:bCs w:val="0"/>
                <w:sz w:val="24"/>
                <w:szCs w:val="24"/>
                <w:highlight w:val="none"/>
                <w:lang w:val="en-US" w:eastAsia="zh-CN"/>
              </w:rPr>
            </w:pPr>
            <w:r>
              <w:rPr>
                <w:rFonts w:hint="eastAsia" w:ascii="Times New Roman" w:hAnsi="Times New Roman" w:eastAsia="仿宋_GB2312" w:cs="仿宋_GB2312"/>
                <w:b w:val="0"/>
                <w:bCs w:val="0"/>
                <w:sz w:val="24"/>
                <w:szCs w:val="24"/>
                <w:highlight w:val="none"/>
                <w:lang w:val="en-US" w:eastAsia="zh-CN"/>
              </w:rPr>
              <w:t>无废</w:t>
            </w:r>
          </w:p>
        </w:tc>
        <w:tc>
          <w:tcPr>
            <w:tcW w:w="314" w:type="pct"/>
            <w:vAlign w:val="center"/>
          </w:tcPr>
          <w:p w14:paraId="52260EE2">
            <w:pPr>
              <w:keepNext w:val="0"/>
              <w:keepLines w:val="0"/>
              <w:pageBreakBefore w:val="0"/>
              <w:widowControl w:val="0"/>
              <w:numPr>
                <w:ilvl w:val="0"/>
                <w:numId w:val="3"/>
              </w:numPr>
              <w:kinsoku/>
              <w:wordWrap/>
              <w:overflowPunct/>
              <w:topLinePunct w:val="0"/>
              <w:autoSpaceDE/>
              <w:autoSpaceDN/>
              <w:bidi w:val="0"/>
              <w:spacing w:line="240" w:lineRule="auto"/>
              <w:ind w:left="0" w:leftChars="0" w:firstLine="0" w:firstLineChars="0"/>
              <w:jc w:val="center"/>
              <w:textAlignment w:val="auto"/>
              <w:rPr>
                <w:rFonts w:hint="eastAsia" w:ascii="Times New Roman" w:hAnsi="Times New Roman" w:eastAsia="仿宋_GB2312" w:cs="仿宋_GB2312"/>
                <w:b w:val="0"/>
                <w:bCs w:val="0"/>
                <w:kern w:val="2"/>
                <w:sz w:val="24"/>
                <w:szCs w:val="24"/>
                <w:highlight w:val="none"/>
                <w:lang w:val="en-US" w:eastAsia="zh-CN" w:bidi="ar-SA"/>
              </w:rPr>
            </w:pPr>
          </w:p>
        </w:tc>
        <w:tc>
          <w:tcPr>
            <w:tcW w:w="1557" w:type="pct"/>
            <w:vAlign w:val="center"/>
          </w:tcPr>
          <w:p w14:paraId="2DE0893A">
            <w:pPr>
              <w:keepNext w:val="0"/>
              <w:keepLines w:val="0"/>
              <w:pageBreakBefore w:val="0"/>
              <w:widowControl w:val="0"/>
              <w:kinsoku/>
              <w:wordWrap/>
              <w:overflowPunct/>
              <w:topLinePunct w:val="0"/>
              <w:autoSpaceDE/>
              <w:autoSpaceDN/>
              <w:bidi w:val="0"/>
              <w:adjustRightInd w:val="0"/>
              <w:snapToGrid w:val="0"/>
              <w:spacing w:line="240" w:lineRule="auto"/>
              <w:ind w:left="0" w:firstLine="0"/>
              <w:jc w:val="both"/>
              <w:textAlignment w:val="auto"/>
              <w:rPr>
                <w:rFonts w:hint="default" w:ascii="Times New Roman" w:hAnsi="Times New Roman" w:eastAsia="仿宋_GB2312" w:cs="仿宋_GB2312"/>
                <w:b w:val="0"/>
                <w:bCs w:val="0"/>
                <w:snapToGrid w:val="0"/>
                <w:kern w:val="0"/>
                <w:sz w:val="24"/>
                <w:szCs w:val="24"/>
                <w:highlight w:val="none"/>
                <w:lang w:val="en-US" w:eastAsia="zh-CN"/>
              </w:rPr>
            </w:pPr>
            <w:r>
              <w:rPr>
                <w:rFonts w:hint="eastAsia" w:ascii="Times New Roman" w:hAnsi="Times New Roman" w:eastAsia="仿宋_GB2312" w:cs="仿宋_GB2312"/>
                <w:b w:val="0"/>
                <w:bCs w:val="0"/>
                <w:snapToGrid w:val="0"/>
                <w:kern w:val="0"/>
                <w:sz w:val="24"/>
                <w:szCs w:val="24"/>
                <w:highlight w:val="none"/>
                <w:lang w:val="en-US" w:eastAsia="zh-CN"/>
              </w:rPr>
              <w:t>“无废城市”建设进展评价分数（分）</w:t>
            </w:r>
          </w:p>
        </w:tc>
        <w:tc>
          <w:tcPr>
            <w:tcW w:w="1357" w:type="pct"/>
            <w:vAlign w:val="center"/>
          </w:tcPr>
          <w:p w14:paraId="1635EAE2">
            <w:pPr>
              <w:keepNext w:val="0"/>
              <w:keepLines w:val="0"/>
              <w:pageBreakBefore w:val="0"/>
              <w:widowControl w:val="0"/>
              <w:kinsoku/>
              <w:wordWrap/>
              <w:overflowPunct/>
              <w:topLinePunct w:val="0"/>
              <w:autoSpaceDE/>
              <w:autoSpaceDN/>
              <w:bidi w:val="0"/>
              <w:adjustRightInd w:val="0"/>
              <w:snapToGrid w:val="0"/>
              <w:spacing w:line="240" w:lineRule="auto"/>
              <w:ind w:left="0" w:firstLine="0"/>
              <w:jc w:val="center"/>
              <w:textAlignment w:val="auto"/>
              <w:rPr>
                <w:rFonts w:hint="default" w:ascii="Times New Roman" w:hAnsi="Times New Roman" w:eastAsia="仿宋_GB2312" w:cs="仿宋_GB2312"/>
                <w:b w:val="0"/>
                <w:bCs w:val="0"/>
                <w:snapToGrid w:val="0"/>
                <w:kern w:val="0"/>
                <w:sz w:val="24"/>
                <w:szCs w:val="24"/>
                <w:highlight w:val="none"/>
                <w:lang w:val="en-US"/>
              </w:rPr>
            </w:pPr>
            <w:r>
              <w:rPr>
                <w:rFonts w:hint="eastAsia" w:ascii="Times New Roman" w:hAnsi="Times New Roman" w:eastAsia="仿宋_GB2312" w:cs="仿宋_GB2312"/>
                <w:b w:val="0"/>
                <w:bCs w:val="0"/>
                <w:snapToGrid w:val="0"/>
                <w:kern w:val="0"/>
                <w:sz w:val="24"/>
                <w:szCs w:val="24"/>
                <w:highlight w:val="none"/>
              </w:rPr>
              <w:t>≥</w:t>
            </w:r>
            <w:r>
              <w:rPr>
                <w:rFonts w:hint="eastAsia" w:ascii="Times New Roman" w:hAnsi="Times New Roman" w:eastAsia="仿宋_GB2312" w:cs="仿宋_GB2312"/>
                <w:b w:val="0"/>
                <w:bCs w:val="0"/>
                <w:snapToGrid w:val="0"/>
                <w:kern w:val="0"/>
                <w:sz w:val="24"/>
                <w:szCs w:val="24"/>
                <w:highlight w:val="none"/>
                <w:lang w:val="en-US" w:eastAsia="zh-CN"/>
              </w:rPr>
              <w:t>90</w:t>
            </w:r>
          </w:p>
        </w:tc>
        <w:tc>
          <w:tcPr>
            <w:tcW w:w="468" w:type="pct"/>
            <w:vAlign w:val="center"/>
          </w:tcPr>
          <w:p w14:paraId="51D0E75E">
            <w:pPr>
              <w:keepNext w:val="0"/>
              <w:keepLines w:val="0"/>
              <w:pageBreakBefore w:val="0"/>
              <w:widowControl w:val="0"/>
              <w:kinsoku/>
              <w:wordWrap/>
              <w:overflowPunct/>
              <w:topLinePunct w:val="0"/>
              <w:autoSpaceDE/>
              <w:autoSpaceDN/>
              <w:bidi w:val="0"/>
              <w:adjustRightInd w:val="0"/>
              <w:snapToGrid w:val="0"/>
              <w:spacing w:line="240" w:lineRule="auto"/>
              <w:ind w:left="0" w:firstLine="0"/>
              <w:jc w:val="center"/>
              <w:textAlignment w:val="auto"/>
              <w:rPr>
                <w:rFonts w:hint="eastAsia" w:ascii="Times New Roman" w:hAnsi="Times New Roman" w:eastAsia="仿宋_GB2312" w:cs="仿宋_GB2312"/>
                <w:b w:val="0"/>
                <w:bCs w:val="0"/>
                <w:snapToGrid w:val="0"/>
                <w:kern w:val="0"/>
                <w:sz w:val="24"/>
                <w:szCs w:val="24"/>
                <w:highlight w:val="none"/>
                <w:lang w:val="en-US" w:eastAsia="zh-CN" w:bidi="ar-SA"/>
              </w:rPr>
            </w:pPr>
            <w:r>
              <w:rPr>
                <w:rFonts w:hint="eastAsia" w:ascii="Times New Roman" w:hAnsi="Times New Roman" w:eastAsia="仿宋_GB2312" w:cs="仿宋_GB2312"/>
                <w:b w:val="0"/>
                <w:bCs w:val="0"/>
                <w:snapToGrid w:val="0"/>
                <w:kern w:val="0"/>
                <w:sz w:val="24"/>
                <w:szCs w:val="24"/>
                <w:highlight w:val="none"/>
              </w:rPr>
              <w:t>市域</w:t>
            </w:r>
          </w:p>
        </w:tc>
        <w:tc>
          <w:tcPr>
            <w:tcW w:w="1040" w:type="pct"/>
            <w:vAlign w:val="center"/>
          </w:tcPr>
          <w:p w14:paraId="4A2BE67E">
            <w:pPr>
              <w:keepNext w:val="0"/>
              <w:keepLines w:val="0"/>
              <w:pageBreakBefore w:val="0"/>
              <w:widowControl w:val="0"/>
              <w:kinsoku/>
              <w:wordWrap/>
              <w:overflowPunct/>
              <w:topLinePunct w:val="0"/>
              <w:autoSpaceDE/>
              <w:autoSpaceDN/>
              <w:bidi w:val="0"/>
              <w:adjustRightInd w:val="0"/>
              <w:snapToGrid w:val="0"/>
              <w:spacing w:line="240" w:lineRule="auto"/>
              <w:ind w:left="0" w:firstLine="0"/>
              <w:jc w:val="center"/>
              <w:textAlignment w:val="auto"/>
              <w:rPr>
                <w:rFonts w:hint="eastAsia" w:ascii="Times New Roman" w:hAnsi="Times New Roman" w:eastAsia="仿宋_GB2312" w:cs="仿宋_GB2312"/>
                <w:b w:val="0"/>
                <w:bCs w:val="0"/>
                <w:snapToGrid w:val="0"/>
                <w:kern w:val="0"/>
                <w:sz w:val="24"/>
                <w:szCs w:val="24"/>
                <w:highlight w:val="none"/>
                <w:lang w:val="en-US" w:eastAsia="zh-CN" w:bidi="ar-SA"/>
              </w:rPr>
            </w:pPr>
            <w:r>
              <w:rPr>
                <w:rFonts w:hint="eastAsia" w:ascii="Times New Roman" w:hAnsi="Times New Roman" w:eastAsia="仿宋_GB2312" w:cs="仿宋_GB2312"/>
                <w:b w:val="0"/>
                <w:bCs w:val="0"/>
                <w:snapToGrid w:val="0"/>
                <w:kern w:val="0"/>
                <w:sz w:val="24"/>
                <w:szCs w:val="24"/>
                <w:highlight w:val="none"/>
              </w:rPr>
              <w:t>市生态环境局</w:t>
            </w:r>
          </w:p>
        </w:tc>
      </w:tr>
      <w:tr w14:paraId="5E5B61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261" w:type="pct"/>
            <w:vMerge w:val="continue"/>
            <w:vAlign w:val="center"/>
          </w:tcPr>
          <w:p w14:paraId="5FA73881">
            <w:pPr>
              <w:keepNext w:val="0"/>
              <w:keepLines w:val="0"/>
              <w:pageBreakBefore w:val="0"/>
              <w:widowControl w:val="0"/>
              <w:kinsoku/>
              <w:wordWrap/>
              <w:overflowPunct/>
              <w:topLinePunct w:val="0"/>
              <w:autoSpaceDE/>
              <w:autoSpaceDN/>
              <w:bidi w:val="0"/>
              <w:spacing w:line="240" w:lineRule="auto"/>
              <w:ind w:left="0" w:firstLine="0"/>
              <w:jc w:val="both"/>
              <w:textAlignment w:val="auto"/>
              <w:rPr>
                <w:rFonts w:ascii="Times New Roman" w:hAnsi="Times New Roman" w:eastAsia="仿宋_GB2312" w:cs="仿宋_GB2312"/>
                <w:b w:val="0"/>
                <w:bCs w:val="0"/>
                <w:sz w:val="24"/>
                <w:szCs w:val="24"/>
                <w:highlight w:val="none"/>
              </w:rPr>
            </w:pPr>
          </w:p>
        </w:tc>
        <w:tc>
          <w:tcPr>
            <w:tcW w:w="314" w:type="pct"/>
            <w:vAlign w:val="center"/>
          </w:tcPr>
          <w:p w14:paraId="3625BB34">
            <w:pPr>
              <w:keepNext w:val="0"/>
              <w:keepLines w:val="0"/>
              <w:pageBreakBefore w:val="0"/>
              <w:widowControl w:val="0"/>
              <w:numPr>
                <w:ilvl w:val="0"/>
                <w:numId w:val="3"/>
              </w:numPr>
              <w:kinsoku/>
              <w:wordWrap/>
              <w:overflowPunct/>
              <w:topLinePunct w:val="0"/>
              <w:autoSpaceDE/>
              <w:autoSpaceDN/>
              <w:bidi w:val="0"/>
              <w:spacing w:line="240" w:lineRule="auto"/>
              <w:ind w:left="0" w:leftChars="0" w:firstLine="0" w:firstLineChars="0"/>
              <w:jc w:val="center"/>
              <w:textAlignment w:val="auto"/>
              <w:rPr>
                <w:rFonts w:hint="eastAsia" w:ascii="Times New Roman" w:hAnsi="Times New Roman" w:eastAsia="仿宋_GB2312" w:cs="仿宋_GB2312"/>
                <w:b w:val="0"/>
                <w:bCs w:val="0"/>
                <w:kern w:val="2"/>
                <w:sz w:val="24"/>
                <w:szCs w:val="24"/>
                <w:highlight w:val="none"/>
                <w:lang w:val="en-US" w:eastAsia="zh-CN" w:bidi="ar-SA"/>
              </w:rPr>
            </w:pPr>
          </w:p>
        </w:tc>
        <w:tc>
          <w:tcPr>
            <w:tcW w:w="1557" w:type="pct"/>
            <w:vAlign w:val="center"/>
          </w:tcPr>
          <w:p w14:paraId="56B478B4">
            <w:pPr>
              <w:keepNext w:val="0"/>
              <w:keepLines w:val="0"/>
              <w:pageBreakBefore w:val="0"/>
              <w:widowControl w:val="0"/>
              <w:kinsoku/>
              <w:wordWrap/>
              <w:overflowPunct/>
              <w:topLinePunct w:val="0"/>
              <w:autoSpaceDE/>
              <w:autoSpaceDN/>
              <w:bidi w:val="0"/>
              <w:adjustRightInd w:val="0"/>
              <w:snapToGrid w:val="0"/>
              <w:spacing w:line="240" w:lineRule="auto"/>
              <w:ind w:left="0" w:firstLine="0"/>
              <w:jc w:val="both"/>
              <w:textAlignment w:val="auto"/>
              <w:rPr>
                <w:rFonts w:ascii="Times New Roman" w:hAnsi="Times New Roman" w:eastAsia="仿宋_GB2312" w:cs="仿宋_GB2312"/>
                <w:b w:val="0"/>
                <w:bCs w:val="0"/>
                <w:snapToGrid w:val="0"/>
                <w:kern w:val="0"/>
                <w:sz w:val="24"/>
                <w:szCs w:val="24"/>
                <w:highlight w:val="none"/>
              </w:rPr>
            </w:pPr>
            <w:r>
              <w:rPr>
                <w:rFonts w:hint="eastAsia" w:ascii="Times New Roman" w:hAnsi="Times New Roman" w:eastAsia="仿宋_GB2312" w:cs="仿宋_GB2312"/>
                <w:b w:val="0"/>
                <w:bCs w:val="0"/>
                <w:snapToGrid w:val="0"/>
                <w:kern w:val="0"/>
                <w:sz w:val="24"/>
                <w:szCs w:val="24"/>
                <w:highlight w:val="none"/>
              </w:rPr>
              <w:t>重点建设用地安全利用率（%）</w:t>
            </w:r>
          </w:p>
        </w:tc>
        <w:tc>
          <w:tcPr>
            <w:tcW w:w="1357" w:type="pct"/>
            <w:vAlign w:val="center"/>
          </w:tcPr>
          <w:p w14:paraId="07E6C59B">
            <w:pPr>
              <w:keepNext w:val="0"/>
              <w:keepLines w:val="0"/>
              <w:pageBreakBefore w:val="0"/>
              <w:widowControl w:val="0"/>
              <w:kinsoku/>
              <w:wordWrap/>
              <w:overflowPunct/>
              <w:topLinePunct w:val="0"/>
              <w:autoSpaceDE/>
              <w:autoSpaceDN/>
              <w:bidi w:val="0"/>
              <w:adjustRightInd w:val="0"/>
              <w:snapToGrid w:val="0"/>
              <w:spacing w:line="240" w:lineRule="auto"/>
              <w:ind w:left="0" w:firstLine="0"/>
              <w:jc w:val="center"/>
              <w:textAlignment w:val="auto"/>
              <w:rPr>
                <w:rFonts w:ascii="Times New Roman" w:hAnsi="Times New Roman" w:eastAsia="仿宋_GB2312" w:cs="仿宋_GB2312"/>
                <w:b w:val="0"/>
                <w:bCs w:val="0"/>
                <w:snapToGrid w:val="0"/>
                <w:kern w:val="0"/>
                <w:sz w:val="24"/>
                <w:szCs w:val="24"/>
                <w:highlight w:val="none"/>
              </w:rPr>
            </w:pPr>
            <w:r>
              <w:rPr>
                <w:rFonts w:hint="eastAsia" w:ascii="Times New Roman" w:hAnsi="Times New Roman" w:eastAsia="仿宋_GB2312" w:cs="仿宋_GB2312"/>
                <w:b w:val="0"/>
                <w:bCs w:val="0"/>
                <w:snapToGrid w:val="0"/>
                <w:kern w:val="0"/>
                <w:sz w:val="24"/>
                <w:szCs w:val="24"/>
                <w:highlight w:val="none"/>
              </w:rPr>
              <w:t>100</w:t>
            </w:r>
          </w:p>
        </w:tc>
        <w:tc>
          <w:tcPr>
            <w:tcW w:w="468" w:type="pct"/>
            <w:vAlign w:val="center"/>
          </w:tcPr>
          <w:p w14:paraId="3D23C5AE">
            <w:pPr>
              <w:keepNext w:val="0"/>
              <w:keepLines w:val="0"/>
              <w:pageBreakBefore w:val="0"/>
              <w:widowControl w:val="0"/>
              <w:kinsoku/>
              <w:wordWrap/>
              <w:overflowPunct/>
              <w:topLinePunct w:val="0"/>
              <w:autoSpaceDE/>
              <w:autoSpaceDN/>
              <w:bidi w:val="0"/>
              <w:adjustRightInd w:val="0"/>
              <w:snapToGrid w:val="0"/>
              <w:spacing w:line="240" w:lineRule="auto"/>
              <w:ind w:left="0" w:firstLine="0"/>
              <w:jc w:val="center"/>
              <w:textAlignment w:val="auto"/>
              <w:rPr>
                <w:rFonts w:ascii="Times New Roman" w:hAnsi="Times New Roman" w:eastAsia="仿宋_GB2312" w:cs="仿宋_GB2312"/>
                <w:b w:val="0"/>
                <w:bCs w:val="0"/>
                <w:snapToGrid w:val="0"/>
                <w:kern w:val="0"/>
                <w:sz w:val="24"/>
                <w:szCs w:val="24"/>
                <w:highlight w:val="none"/>
              </w:rPr>
            </w:pPr>
            <w:r>
              <w:rPr>
                <w:rFonts w:hint="eastAsia" w:ascii="Times New Roman" w:hAnsi="Times New Roman" w:eastAsia="仿宋_GB2312" w:cs="仿宋_GB2312"/>
                <w:b w:val="0"/>
                <w:bCs w:val="0"/>
                <w:snapToGrid w:val="0"/>
                <w:kern w:val="0"/>
                <w:sz w:val="24"/>
                <w:szCs w:val="24"/>
                <w:highlight w:val="none"/>
              </w:rPr>
              <w:t>城区</w:t>
            </w:r>
          </w:p>
        </w:tc>
        <w:tc>
          <w:tcPr>
            <w:tcW w:w="1040" w:type="pct"/>
            <w:vAlign w:val="center"/>
          </w:tcPr>
          <w:p w14:paraId="791CFC6D">
            <w:pPr>
              <w:keepNext w:val="0"/>
              <w:keepLines w:val="0"/>
              <w:pageBreakBefore w:val="0"/>
              <w:widowControl w:val="0"/>
              <w:kinsoku/>
              <w:wordWrap/>
              <w:overflowPunct/>
              <w:topLinePunct w:val="0"/>
              <w:autoSpaceDE/>
              <w:autoSpaceDN/>
              <w:bidi w:val="0"/>
              <w:adjustRightInd w:val="0"/>
              <w:snapToGrid w:val="0"/>
              <w:spacing w:line="240" w:lineRule="auto"/>
              <w:ind w:left="0" w:firstLine="0"/>
              <w:jc w:val="center"/>
              <w:textAlignment w:val="auto"/>
              <w:rPr>
                <w:rFonts w:hint="default" w:ascii="Times New Roman" w:hAnsi="Times New Roman" w:eastAsia="仿宋_GB2312" w:cs="仿宋_GB2312"/>
                <w:b w:val="0"/>
                <w:bCs w:val="0"/>
                <w:snapToGrid w:val="0"/>
                <w:kern w:val="0"/>
                <w:sz w:val="24"/>
                <w:szCs w:val="24"/>
                <w:highlight w:val="none"/>
                <w:lang w:val="en-US" w:eastAsia="zh-CN"/>
              </w:rPr>
            </w:pPr>
            <w:r>
              <w:rPr>
                <w:rFonts w:hint="eastAsia" w:ascii="Times New Roman" w:hAnsi="Times New Roman" w:eastAsia="仿宋_GB2312" w:cs="仿宋_GB2312"/>
                <w:b w:val="0"/>
                <w:bCs w:val="0"/>
                <w:snapToGrid w:val="0"/>
                <w:kern w:val="0"/>
                <w:sz w:val="24"/>
                <w:szCs w:val="24"/>
                <w:highlight w:val="none"/>
              </w:rPr>
              <w:t>市生态环境局</w:t>
            </w:r>
            <w:r>
              <w:rPr>
                <w:rFonts w:hint="eastAsia" w:ascii="Times New Roman" w:hAnsi="Times New Roman" w:eastAsia="仿宋_GB2312" w:cs="仿宋_GB2312"/>
                <w:b w:val="0"/>
                <w:bCs w:val="0"/>
                <w:snapToGrid w:val="0"/>
                <w:kern w:val="0"/>
                <w:sz w:val="24"/>
                <w:szCs w:val="24"/>
                <w:highlight w:val="none"/>
                <w:lang w:eastAsia="zh-CN"/>
              </w:rPr>
              <w:t>、</w:t>
            </w:r>
            <w:r>
              <w:rPr>
                <w:rFonts w:hint="eastAsia" w:ascii="Times New Roman" w:hAnsi="Times New Roman" w:eastAsia="仿宋_GB2312" w:cs="仿宋_GB2312"/>
                <w:b w:val="0"/>
                <w:bCs w:val="0"/>
                <w:snapToGrid w:val="0"/>
                <w:kern w:val="0"/>
                <w:sz w:val="24"/>
                <w:szCs w:val="24"/>
                <w:highlight w:val="none"/>
              </w:rPr>
              <w:t>市</w:t>
            </w:r>
            <w:r>
              <w:rPr>
                <w:rFonts w:hint="eastAsia" w:ascii="Times New Roman" w:hAnsi="Times New Roman" w:eastAsia="仿宋_GB2312" w:cs="仿宋_GB2312"/>
                <w:b w:val="0"/>
                <w:bCs w:val="0"/>
                <w:snapToGrid w:val="0"/>
                <w:kern w:val="0"/>
                <w:sz w:val="24"/>
                <w:szCs w:val="24"/>
                <w:highlight w:val="none"/>
                <w:lang w:eastAsia="zh-CN"/>
              </w:rPr>
              <w:t>自然资源</w:t>
            </w:r>
            <w:r>
              <w:rPr>
                <w:rFonts w:hint="eastAsia" w:ascii="Times New Roman" w:hAnsi="Times New Roman" w:eastAsia="仿宋_GB2312" w:cs="仿宋_GB2312"/>
                <w:b w:val="0"/>
                <w:bCs w:val="0"/>
                <w:snapToGrid w:val="0"/>
                <w:kern w:val="0"/>
                <w:sz w:val="24"/>
                <w:szCs w:val="24"/>
                <w:highlight w:val="none"/>
                <w:lang w:val="en-US" w:eastAsia="zh-CN"/>
              </w:rPr>
              <w:t>和城乡建设局</w:t>
            </w:r>
          </w:p>
        </w:tc>
      </w:tr>
      <w:tr w14:paraId="16B4E0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exact"/>
          <w:jc w:val="center"/>
        </w:trPr>
        <w:tc>
          <w:tcPr>
            <w:tcW w:w="261" w:type="pct"/>
            <w:vMerge w:val="continue"/>
            <w:vAlign w:val="center"/>
          </w:tcPr>
          <w:p w14:paraId="16D2D31D">
            <w:pPr>
              <w:keepNext w:val="0"/>
              <w:keepLines w:val="0"/>
              <w:pageBreakBefore w:val="0"/>
              <w:widowControl w:val="0"/>
              <w:kinsoku/>
              <w:wordWrap/>
              <w:overflowPunct/>
              <w:topLinePunct w:val="0"/>
              <w:autoSpaceDE/>
              <w:autoSpaceDN/>
              <w:bidi w:val="0"/>
              <w:spacing w:line="240" w:lineRule="auto"/>
              <w:ind w:left="0" w:firstLine="0"/>
              <w:jc w:val="both"/>
              <w:textAlignment w:val="auto"/>
              <w:rPr>
                <w:rFonts w:ascii="Times New Roman" w:hAnsi="Times New Roman" w:eastAsia="仿宋_GB2312" w:cs="仿宋_GB2312"/>
                <w:b w:val="0"/>
                <w:bCs w:val="0"/>
                <w:sz w:val="24"/>
                <w:szCs w:val="24"/>
                <w:highlight w:val="none"/>
              </w:rPr>
            </w:pPr>
          </w:p>
        </w:tc>
        <w:tc>
          <w:tcPr>
            <w:tcW w:w="314" w:type="pct"/>
            <w:vAlign w:val="center"/>
          </w:tcPr>
          <w:p w14:paraId="4699135A">
            <w:pPr>
              <w:keepNext w:val="0"/>
              <w:keepLines w:val="0"/>
              <w:pageBreakBefore w:val="0"/>
              <w:widowControl w:val="0"/>
              <w:numPr>
                <w:ilvl w:val="0"/>
                <w:numId w:val="3"/>
              </w:numPr>
              <w:kinsoku/>
              <w:wordWrap/>
              <w:overflowPunct/>
              <w:topLinePunct w:val="0"/>
              <w:autoSpaceDE/>
              <w:autoSpaceDN/>
              <w:bidi w:val="0"/>
              <w:spacing w:line="240" w:lineRule="auto"/>
              <w:ind w:left="0" w:leftChars="0" w:firstLine="0" w:firstLineChars="0"/>
              <w:jc w:val="center"/>
              <w:textAlignment w:val="auto"/>
              <w:rPr>
                <w:rFonts w:hint="eastAsia" w:ascii="Times New Roman" w:hAnsi="Times New Roman" w:eastAsia="仿宋_GB2312" w:cs="仿宋_GB2312"/>
                <w:b w:val="0"/>
                <w:bCs w:val="0"/>
                <w:kern w:val="2"/>
                <w:sz w:val="24"/>
                <w:szCs w:val="24"/>
                <w:highlight w:val="none"/>
                <w:lang w:val="en-US" w:eastAsia="zh-CN" w:bidi="ar-SA"/>
              </w:rPr>
            </w:pPr>
          </w:p>
        </w:tc>
        <w:tc>
          <w:tcPr>
            <w:tcW w:w="1557" w:type="pct"/>
            <w:vAlign w:val="center"/>
          </w:tcPr>
          <w:p w14:paraId="58D96213">
            <w:pPr>
              <w:keepNext w:val="0"/>
              <w:keepLines w:val="0"/>
              <w:pageBreakBefore w:val="0"/>
              <w:widowControl w:val="0"/>
              <w:kinsoku/>
              <w:wordWrap/>
              <w:overflowPunct/>
              <w:topLinePunct w:val="0"/>
              <w:autoSpaceDE/>
              <w:autoSpaceDN/>
              <w:bidi w:val="0"/>
              <w:adjustRightInd w:val="0"/>
              <w:snapToGrid w:val="0"/>
              <w:spacing w:line="240" w:lineRule="auto"/>
              <w:ind w:left="0" w:firstLine="0"/>
              <w:jc w:val="both"/>
              <w:textAlignment w:val="auto"/>
              <w:rPr>
                <w:rFonts w:hint="eastAsia" w:ascii="Times New Roman" w:hAnsi="Times New Roman" w:eastAsia="仿宋_GB2312" w:cs="仿宋_GB2312"/>
                <w:b w:val="0"/>
                <w:bCs w:val="0"/>
                <w:snapToGrid w:val="0"/>
                <w:kern w:val="0"/>
                <w:sz w:val="24"/>
                <w:szCs w:val="24"/>
                <w:highlight w:val="none"/>
                <w:lang w:val="en-US" w:eastAsia="zh-CN" w:bidi="ar-SA"/>
              </w:rPr>
            </w:pPr>
            <w:r>
              <w:rPr>
                <w:rFonts w:hint="eastAsia" w:ascii="Times New Roman" w:hAnsi="Times New Roman" w:eastAsia="仿宋_GB2312" w:cs="仿宋_GB2312"/>
                <w:b w:val="0"/>
                <w:bCs w:val="0"/>
                <w:snapToGrid w:val="0"/>
                <w:kern w:val="0"/>
                <w:sz w:val="24"/>
                <w:szCs w:val="24"/>
                <w:highlight w:val="none"/>
              </w:rPr>
              <w:t>城市声环境功能区夜间达标率（%）</w:t>
            </w:r>
          </w:p>
        </w:tc>
        <w:tc>
          <w:tcPr>
            <w:tcW w:w="1357" w:type="pct"/>
            <w:vAlign w:val="center"/>
          </w:tcPr>
          <w:p w14:paraId="51491113">
            <w:pPr>
              <w:keepNext w:val="0"/>
              <w:keepLines w:val="0"/>
              <w:pageBreakBefore w:val="0"/>
              <w:widowControl w:val="0"/>
              <w:kinsoku/>
              <w:wordWrap/>
              <w:overflowPunct/>
              <w:topLinePunct w:val="0"/>
              <w:autoSpaceDE/>
              <w:autoSpaceDN/>
              <w:bidi w:val="0"/>
              <w:adjustRightInd w:val="0"/>
              <w:snapToGrid w:val="0"/>
              <w:spacing w:line="240" w:lineRule="auto"/>
              <w:ind w:left="0" w:firstLine="0"/>
              <w:jc w:val="center"/>
              <w:textAlignment w:val="auto"/>
              <w:rPr>
                <w:rFonts w:hint="default" w:ascii="Times New Roman" w:hAnsi="Times New Roman" w:eastAsia="仿宋_GB2312" w:cs="仿宋_GB2312"/>
                <w:b w:val="0"/>
                <w:bCs w:val="0"/>
                <w:snapToGrid w:val="0"/>
                <w:kern w:val="0"/>
                <w:sz w:val="24"/>
                <w:szCs w:val="24"/>
                <w:highlight w:val="none"/>
                <w:lang w:val="en-US" w:eastAsia="zh-CN" w:bidi="ar-SA"/>
              </w:rPr>
            </w:pPr>
            <w:r>
              <w:rPr>
                <w:rFonts w:hint="eastAsia" w:ascii="Times New Roman" w:hAnsi="Times New Roman" w:eastAsia="仿宋_GB2312" w:cs="仿宋_GB2312"/>
                <w:b w:val="0"/>
                <w:bCs w:val="0"/>
                <w:snapToGrid w:val="0"/>
                <w:kern w:val="0"/>
                <w:sz w:val="24"/>
                <w:szCs w:val="24"/>
                <w:highlight w:val="none"/>
              </w:rPr>
              <w:t>≥</w:t>
            </w:r>
            <w:r>
              <w:rPr>
                <w:rFonts w:hint="eastAsia" w:ascii="Times New Roman" w:hAnsi="Times New Roman" w:eastAsia="仿宋_GB2312" w:cs="仿宋_GB2312"/>
                <w:b w:val="0"/>
                <w:bCs w:val="0"/>
                <w:snapToGrid w:val="0"/>
                <w:kern w:val="0"/>
                <w:sz w:val="24"/>
                <w:szCs w:val="24"/>
                <w:highlight w:val="none"/>
                <w:lang w:val="en-US" w:eastAsia="zh-CN"/>
              </w:rPr>
              <w:t>85</w:t>
            </w:r>
          </w:p>
        </w:tc>
        <w:tc>
          <w:tcPr>
            <w:tcW w:w="468" w:type="pct"/>
            <w:vAlign w:val="center"/>
          </w:tcPr>
          <w:p w14:paraId="791D6897">
            <w:pPr>
              <w:keepNext w:val="0"/>
              <w:keepLines w:val="0"/>
              <w:pageBreakBefore w:val="0"/>
              <w:widowControl w:val="0"/>
              <w:kinsoku/>
              <w:wordWrap/>
              <w:overflowPunct/>
              <w:topLinePunct w:val="0"/>
              <w:autoSpaceDE/>
              <w:autoSpaceDN/>
              <w:bidi w:val="0"/>
              <w:adjustRightInd w:val="0"/>
              <w:snapToGrid w:val="0"/>
              <w:spacing w:line="240" w:lineRule="auto"/>
              <w:ind w:left="0" w:firstLine="0"/>
              <w:jc w:val="center"/>
              <w:textAlignment w:val="auto"/>
              <w:rPr>
                <w:rFonts w:hint="eastAsia" w:ascii="Times New Roman" w:hAnsi="Times New Roman" w:eastAsia="仿宋_GB2312" w:cs="仿宋_GB2312"/>
                <w:b w:val="0"/>
                <w:bCs w:val="0"/>
                <w:snapToGrid w:val="0"/>
                <w:kern w:val="0"/>
                <w:sz w:val="24"/>
                <w:szCs w:val="24"/>
                <w:highlight w:val="none"/>
                <w:lang w:val="en-US" w:eastAsia="zh-CN" w:bidi="ar-SA"/>
              </w:rPr>
            </w:pPr>
            <w:r>
              <w:rPr>
                <w:rFonts w:hint="eastAsia" w:ascii="Times New Roman" w:hAnsi="Times New Roman" w:eastAsia="仿宋_GB2312" w:cs="仿宋_GB2312"/>
                <w:b w:val="0"/>
                <w:bCs w:val="0"/>
                <w:snapToGrid w:val="0"/>
                <w:kern w:val="0"/>
                <w:sz w:val="24"/>
                <w:szCs w:val="24"/>
                <w:highlight w:val="none"/>
              </w:rPr>
              <w:t>城区</w:t>
            </w:r>
          </w:p>
        </w:tc>
        <w:tc>
          <w:tcPr>
            <w:tcW w:w="1040" w:type="pct"/>
            <w:vAlign w:val="center"/>
          </w:tcPr>
          <w:p w14:paraId="1977A569">
            <w:pPr>
              <w:keepNext w:val="0"/>
              <w:keepLines w:val="0"/>
              <w:pageBreakBefore w:val="0"/>
              <w:widowControl w:val="0"/>
              <w:kinsoku/>
              <w:wordWrap/>
              <w:overflowPunct/>
              <w:topLinePunct w:val="0"/>
              <w:autoSpaceDE/>
              <w:autoSpaceDN/>
              <w:bidi w:val="0"/>
              <w:adjustRightInd w:val="0"/>
              <w:snapToGrid w:val="0"/>
              <w:spacing w:line="240" w:lineRule="auto"/>
              <w:ind w:left="0" w:firstLine="0"/>
              <w:jc w:val="center"/>
              <w:textAlignment w:val="auto"/>
              <w:rPr>
                <w:rFonts w:hint="eastAsia" w:ascii="Times New Roman" w:hAnsi="Times New Roman" w:eastAsia="仿宋_GB2312" w:cs="仿宋_GB2312"/>
                <w:b w:val="0"/>
                <w:bCs w:val="0"/>
                <w:snapToGrid w:val="0"/>
                <w:kern w:val="0"/>
                <w:sz w:val="24"/>
                <w:szCs w:val="24"/>
                <w:highlight w:val="none"/>
                <w:lang w:val="en-US" w:eastAsia="zh-CN" w:bidi="ar-SA"/>
              </w:rPr>
            </w:pPr>
            <w:r>
              <w:rPr>
                <w:rFonts w:hint="eastAsia" w:ascii="Times New Roman" w:hAnsi="Times New Roman" w:eastAsia="仿宋_GB2312" w:cs="仿宋_GB2312"/>
                <w:b w:val="0"/>
                <w:bCs w:val="0"/>
                <w:snapToGrid w:val="0"/>
                <w:kern w:val="0"/>
                <w:sz w:val="24"/>
                <w:szCs w:val="24"/>
                <w:highlight w:val="none"/>
              </w:rPr>
              <w:t>市生态环境局</w:t>
            </w:r>
          </w:p>
        </w:tc>
      </w:tr>
      <w:tr w14:paraId="18D522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exact"/>
          <w:jc w:val="center"/>
        </w:trPr>
        <w:tc>
          <w:tcPr>
            <w:tcW w:w="261" w:type="pct"/>
            <w:vMerge w:val="restart"/>
            <w:vAlign w:val="center"/>
          </w:tcPr>
          <w:p w14:paraId="48E36AF4">
            <w:pPr>
              <w:keepNext w:val="0"/>
              <w:keepLines w:val="0"/>
              <w:pageBreakBefore w:val="0"/>
              <w:widowControl w:val="0"/>
              <w:kinsoku/>
              <w:wordWrap/>
              <w:overflowPunct/>
              <w:topLinePunct w:val="0"/>
              <w:autoSpaceDE/>
              <w:autoSpaceDN/>
              <w:bidi w:val="0"/>
              <w:spacing w:line="240" w:lineRule="auto"/>
              <w:ind w:left="0" w:firstLine="0"/>
              <w:jc w:val="both"/>
              <w:textAlignment w:val="auto"/>
              <w:rPr>
                <w:rFonts w:ascii="Times New Roman" w:hAnsi="Times New Roman" w:eastAsia="仿宋_GB2312" w:cs="仿宋_GB2312"/>
                <w:b w:val="0"/>
                <w:bCs w:val="0"/>
                <w:sz w:val="24"/>
                <w:szCs w:val="24"/>
                <w:highlight w:val="none"/>
              </w:rPr>
            </w:pPr>
            <w:r>
              <w:rPr>
                <w:rFonts w:hint="eastAsia" w:ascii="Times New Roman" w:hAnsi="Times New Roman" w:eastAsia="仿宋_GB2312" w:cs="仿宋_GB2312"/>
                <w:b w:val="0"/>
                <w:bCs w:val="0"/>
                <w:sz w:val="24"/>
                <w:szCs w:val="24"/>
                <w:highlight w:val="none"/>
              </w:rPr>
              <w:t>生态</w:t>
            </w:r>
          </w:p>
          <w:p w14:paraId="1DCD71D6">
            <w:pPr>
              <w:keepNext w:val="0"/>
              <w:keepLines w:val="0"/>
              <w:pageBreakBefore w:val="0"/>
              <w:widowControl w:val="0"/>
              <w:kinsoku/>
              <w:wordWrap/>
              <w:overflowPunct/>
              <w:topLinePunct w:val="0"/>
              <w:autoSpaceDE/>
              <w:autoSpaceDN/>
              <w:bidi w:val="0"/>
              <w:spacing w:line="240" w:lineRule="auto"/>
              <w:ind w:left="0" w:firstLine="0"/>
              <w:jc w:val="both"/>
              <w:textAlignment w:val="auto"/>
              <w:rPr>
                <w:rFonts w:ascii="Times New Roman" w:hAnsi="Times New Roman" w:eastAsia="仿宋_GB2312" w:cs="仿宋_GB2312"/>
                <w:b w:val="0"/>
                <w:bCs w:val="0"/>
                <w:sz w:val="24"/>
                <w:szCs w:val="24"/>
                <w:highlight w:val="none"/>
              </w:rPr>
            </w:pPr>
            <w:r>
              <w:rPr>
                <w:rFonts w:hint="eastAsia" w:ascii="Times New Roman" w:hAnsi="Times New Roman" w:eastAsia="仿宋_GB2312" w:cs="仿宋_GB2312"/>
                <w:b w:val="0"/>
                <w:bCs w:val="0"/>
                <w:sz w:val="24"/>
                <w:szCs w:val="24"/>
                <w:highlight w:val="none"/>
              </w:rPr>
              <w:t>宜居</w:t>
            </w:r>
          </w:p>
        </w:tc>
        <w:tc>
          <w:tcPr>
            <w:tcW w:w="314" w:type="pct"/>
            <w:vAlign w:val="center"/>
          </w:tcPr>
          <w:p w14:paraId="45A25F65">
            <w:pPr>
              <w:keepNext w:val="0"/>
              <w:keepLines w:val="0"/>
              <w:pageBreakBefore w:val="0"/>
              <w:widowControl w:val="0"/>
              <w:numPr>
                <w:ilvl w:val="0"/>
                <w:numId w:val="3"/>
              </w:numPr>
              <w:kinsoku/>
              <w:wordWrap/>
              <w:overflowPunct/>
              <w:topLinePunct w:val="0"/>
              <w:autoSpaceDE/>
              <w:autoSpaceDN/>
              <w:bidi w:val="0"/>
              <w:spacing w:line="240" w:lineRule="auto"/>
              <w:ind w:left="0" w:leftChars="0" w:firstLine="0" w:firstLineChars="0"/>
              <w:jc w:val="center"/>
              <w:textAlignment w:val="auto"/>
              <w:rPr>
                <w:rFonts w:hint="eastAsia" w:ascii="Times New Roman" w:hAnsi="Times New Roman" w:eastAsia="仿宋_GB2312" w:cs="仿宋_GB2312"/>
                <w:b w:val="0"/>
                <w:bCs w:val="0"/>
                <w:kern w:val="2"/>
                <w:sz w:val="24"/>
                <w:szCs w:val="24"/>
                <w:highlight w:val="none"/>
                <w:lang w:val="en-US" w:eastAsia="zh-CN" w:bidi="ar-SA"/>
              </w:rPr>
            </w:pPr>
          </w:p>
        </w:tc>
        <w:tc>
          <w:tcPr>
            <w:tcW w:w="1557" w:type="pct"/>
            <w:vAlign w:val="center"/>
          </w:tcPr>
          <w:p w14:paraId="44EB0920">
            <w:pPr>
              <w:keepNext w:val="0"/>
              <w:keepLines w:val="0"/>
              <w:pageBreakBefore w:val="0"/>
              <w:widowControl w:val="0"/>
              <w:kinsoku/>
              <w:wordWrap/>
              <w:overflowPunct/>
              <w:topLinePunct w:val="0"/>
              <w:autoSpaceDE/>
              <w:autoSpaceDN/>
              <w:bidi w:val="0"/>
              <w:adjustRightInd w:val="0"/>
              <w:snapToGrid w:val="0"/>
              <w:spacing w:line="240" w:lineRule="auto"/>
              <w:ind w:left="0" w:firstLine="0"/>
              <w:jc w:val="both"/>
              <w:textAlignment w:val="auto"/>
              <w:rPr>
                <w:rFonts w:ascii="Times New Roman" w:hAnsi="Times New Roman" w:eastAsia="仿宋_GB2312" w:cs="仿宋_GB2312"/>
                <w:b w:val="0"/>
                <w:bCs w:val="0"/>
                <w:snapToGrid w:val="0"/>
                <w:kern w:val="0"/>
                <w:sz w:val="24"/>
                <w:szCs w:val="24"/>
                <w:highlight w:val="none"/>
                <w:lang w:val="en-US" w:eastAsia="zh-CN" w:bidi="ar-SA"/>
              </w:rPr>
            </w:pPr>
            <w:r>
              <w:rPr>
                <w:rFonts w:hint="eastAsia" w:ascii="Times New Roman" w:hAnsi="Times New Roman" w:eastAsia="仿宋_GB2312" w:cs="仿宋_GB2312"/>
                <w:b w:val="0"/>
                <w:bCs w:val="0"/>
                <w:snapToGrid w:val="0"/>
                <w:kern w:val="0"/>
                <w:sz w:val="24"/>
                <w:szCs w:val="24"/>
                <w:highlight w:val="none"/>
              </w:rPr>
              <w:t>蓝绿空间比例（%）</w:t>
            </w:r>
          </w:p>
        </w:tc>
        <w:tc>
          <w:tcPr>
            <w:tcW w:w="1357" w:type="pct"/>
            <w:vAlign w:val="center"/>
          </w:tcPr>
          <w:p w14:paraId="6E68E2B3">
            <w:pPr>
              <w:keepNext w:val="0"/>
              <w:keepLines w:val="0"/>
              <w:pageBreakBefore w:val="0"/>
              <w:widowControl w:val="0"/>
              <w:kinsoku/>
              <w:wordWrap/>
              <w:overflowPunct/>
              <w:topLinePunct w:val="0"/>
              <w:autoSpaceDE/>
              <w:autoSpaceDN/>
              <w:bidi w:val="0"/>
              <w:adjustRightInd w:val="0"/>
              <w:snapToGrid w:val="0"/>
              <w:spacing w:line="240" w:lineRule="auto"/>
              <w:ind w:left="0" w:firstLine="0"/>
              <w:jc w:val="center"/>
              <w:textAlignment w:val="auto"/>
              <w:rPr>
                <w:rFonts w:ascii="Times New Roman" w:hAnsi="Times New Roman" w:eastAsia="仿宋_GB2312" w:cs="仿宋_GB2312"/>
                <w:b w:val="0"/>
                <w:bCs w:val="0"/>
                <w:snapToGrid w:val="0"/>
                <w:kern w:val="0"/>
                <w:sz w:val="24"/>
                <w:szCs w:val="24"/>
                <w:highlight w:val="none"/>
                <w:lang w:val="en-US" w:eastAsia="zh-CN" w:bidi="ar-SA"/>
              </w:rPr>
            </w:pPr>
            <w:r>
              <w:rPr>
                <w:rFonts w:hint="eastAsia" w:ascii="Times New Roman" w:hAnsi="Times New Roman" w:eastAsia="仿宋_GB2312" w:cs="仿宋_GB2312"/>
                <w:b w:val="0"/>
                <w:bCs w:val="0"/>
                <w:snapToGrid w:val="0"/>
                <w:kern w:val="0"/>
                <w:sz w:val="24"/>
                <w:szCs w:val="24"/>
                <w:highlight w:val="none"/>
              </w:rPr>
              <w:t>≥</w:t>
            </w:r>
            <w:r>
              <w:rPr>
                <w:rFonts w:hint="eastAsia" w:ascii="Times New Roman" w:hAnsi="Times New Roman" w:eastAsia="仿宋_GB2312" w:cs="仿宋_GB2312"/>
                <w:b w:val="0"/>
                <w:bCs w:val="0"/>
                <w:snapToGrid w:val="0"/>
                <w:kern w:val="0"/>
                <w:sz w:val="24"/>
                <w:szCs w:val="24"/>
                <w:highlight w:val="none"/>
                <w:lang w:val="en-US" w:eastAsia="zh-CN"/>
              </w:rPr>
              <w:t>45</w:t>
            </w:r>
          </w:p>
        </w:tc>
        <w:tc>
          <w:tcPr>
            <w:tcW w:w="468" w:type="pct"/>
            <w:vAlign w:val="center"/>
          </w:tcPr>
          <w:p w14:paraId="77086110">
            <w:pPr>
              <w:keepNext w:val="0"/>
              <w:keepLines w:val="0"/>
              <w:pageBreakBefore w:val="0"/>
              <w:widowControl w:val="0"/>
              <w:kinsoku/>
              <w:wordWrap/>
              <w:overflowPunct/>
              <w:topLinePunct w:val="0"/>
              <w:autoSpaceDE/>
              <w:autoSpaceDN/>
              <w:bidi w:val="0"/>
              <w:adjustRightInd w:val="0"/>
              <w:snapToGrid w:val="0"/>
              <w:spacing w:line="240" w:lineRule="auto"/>
              <w:ind w:left="0" w:firstLine="0"/>
              <w:jc w:val="center"/>
              <w:textAlignment w:val="auto"/>
              <w:rPr>
                <w:rFonts w:ascii="Times New Roman" w:hAnsi="Times New Roman" w:eastAsia="仿宋_GB2312" w:cs="仿宋_GB2312"/>
                <w:b w:val="0"/>
                <w:bCs w:val="0"/>
                <w:snapToGrid w:val="0"/>
                <w:kern w:val="0"/>
                <w:sz w:val="24"/>
                <w:szCs w:val="24"/>
                <w:highlight w:val="none"/>
                <w:lang w:val="en-US" w:eastAsia="zh-CN" w:bidi="ar-SA"/>
              </w:rPr>
            </w:pPr>
            <w:r>
              <w:rPr>
                <w:rFonts w:hint="eastAsia" w:ascii="Times New Roman" w:hAnsi="Times New Roman" w:eastAsia="仿宋_GB2312" w:cs="仿宋_GB2312"/>
                <w:b w:val="0"/>
                <w:bCs w:val="0"/>
                <w:snapToGrid w:val="0"/>
                <w:kern w:val="0"/>
                <w:sz w:val="24"/>
                <w:szCs w:val="24"/>
                <w:highlight w:val="none"/>
              </w:rPr>
              <w:t>城区</w:t>
            </w:r>
          </w:p>
        </w:tc>
        <w:tc>
          <w:tcPr>
            <w:tcW w:w="1040" w:type="pct"/>
            <w:vAlign w:val="center"/>
          </w:tcPr>
          <w:p w14:paraId="6999D469">
            <w:pPr>
              <w:keepNext w:val="0"/>
              <w:keepLines w:val="0"/>
              <w:pageBreakBefore w:val="0"/>
              <w:widowControl w:val="0"/>
              <w:kinsoku/>
              <w:wordWrap/>
              <w:overflowPunct/>
              <w:topLinePunct w:val="0"/>
              <w:autoSpaceDE/>
              <w:autoSpaceDN/>
              <w:bidi w:val="0"/>
              <w:adjustRightInd w:val="0"/>
              <w:snapToGrid w:val="0"/>
              <w:spacing w:line="240" w:lineRule="auto"/>
              <w:ind w:left="0" w:firstLine="0"/>
              <w:jc w:val="center"/>
              <w:textAlignment w:val="auto"/>
              <w:rPr>
                <w:rFonts w:ascii="Times New Roman" w:hAnsi="Times New Roman" w:eastAsia="仿宋_GB2312" w:cs="仿宋_GB2312"/>
                <w:b w:val="0"/>
                <w:bCs w:val="0"/>
                <w:snapToGrid w:val="0"/>
                <w:kern w:val="0"/>
                <w:sz w:val="24"/>
                <w:szCs w:val="24"/>
                <w:highlight w:val="none"/>
                <w:lang w:val="en-US" w:eastAsia="zh-CN" w:bidi="ar-SA"/>
              </w:rPr>
            </w:pPr>
            <w:r>
              <w:rPr>
                <w:rFonts w:hint="eastAsia" w:ascii="Times New Roman" w:hAnsi="Times New Roman" w:eastAsia="仿宋_GB2312" w:cs="仿宋_GB2312"/>
                <w:b w:val="0"/>
                <w:bCs w:val="0"/>
                <w:snapToGrid w:val="0"/>
                <w:kern w:val="0"/>
                <w:sz w:val="24"/>
                <w:szCs w:val="24"/>
                <w:highlight w:val="none"/>
              </w:rPr>
              <w:t>市</w:t>
            </w:r>
            <w:r>
              <w:rPr>
                <w:rFonts w:hint="eastAsia" w:ascii="Times New Roman" w:hAnsi="Times New Roman" w:eastAsia="仿宋_GB2312" w:cs="仿宋_GB2312"/>
                <w:b w:val="0"/>
                <w:bCs w:val="0"/>
                <w:snapToGrid w:val="0"/>
                <w:kern w:val="0"/>
                <w:sz w:val="24"/>
                <w:szCs w:val="24"/>
                <w:highlight w:val="none"/>
                <w:lang w:eastAsia="zh-CN"/>
              </w:rPr>
              <w:t>自然资源</w:t>
            </w:r>
            <w:r>
              <w:rPr>
                <w:rFonts w:hint="eastAsia" w:ascii="Times New Roman" w:hAnsi="Times New Roman" w:eastAsia="仿宋_GB2312" w:cs="仿宋_GB2312"/>
                <w:b w:val="0"/>
                <w:bCs w:val="0"/>
                <w:snapToGrid w:val="0"/>
                <w:kern w:val="0"/>
                <w:sz w:val="24"/>
                <w:szCs w:val="24"/>
                <w:highlight w:val="none"/>
                <w:lang w:val="en-US" w:eastAsia="zh-CN"/>
              </w:rPr>
              <w:t>和城乡建设局</w:t>
            </w:r>
          </w:p>
        </w:tc>
      </w:tr>
      <w:tr w14:paraId="611381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exact"/>
          <w:jc w:val="center"/>
        </w:trPr>
        <w:tc>
          <w:tcPr>
            <w:tcW w:w="261" w:type="pct"/>
            <w:vMerge w:val="continue"/>
            <w:vAlign w:val="center"/>
          </w:tcPr>
          <w:p w14:paraId="7071D008">
            <w:pPr>
              <w:keepNext w:val="0"/>
              <w:keepLines w:val="0"/>
              <w:pageBreakBefore w:val="0"/>
              <w:widowControl w:val="0"/>
              <w:kinsoku/>
              <w:wordWrap/>
              <w:overflowPunct/>
              <w:topLinePunct w:val="0"/>
              <w:autoSpaceDE/>
              <w:autoSpaceDN/>
              <w:bidi w:val="0"/>
              <w:spacing w:line="240" w:lineRule="auto"/>
              <w:ind w:left="0" w:firstLine="0"/>
              <w:jc w:val="both"/>
              <w:textAlignment w:val="auto"/>
              <w:rPr>
                <w:rFonts w:hint="eastAsia" w:ascii="Times New Roman" w:hAnsi="Times New Roman" w:eastAsia="仿宋_GB2312" w:cs="仿宋_GB2312"/>
                <w:b w:val="0"/>
                <w:bCs w:val="0"/>
                <w:sz w:val="24"/>
                <w:szCs w:val="24"/>
                <w:highlight w:val="none"/>
              </w:rPr>
            </w:pPr>
          </w:p>
        </w:tc>
        <w:tc>
          <w:tcPr>
            <w:tcW w:w="314" w:type="pct"/>
            <w:vAlign w:val="center"/>
          </w:tcPr>
          <w:p w14:paraId="0FB219F4">
            <w:pPr>
              <w:keepNext w:val="0"/>
              <w:keepLines w:val="0"/>
              <w:pageBreakBefore w:val="0"/>
              <w:widowControl w:val="0"/>
              <w:numPr>
                <w:ilvl w:val="0"/>
                <w:numId w:val="3"/>
              </w:numPr>
              <w:kinsoku/>
              <w:wordWrap/>
              <w:overflowPunct/>
              <w:topLinePunct w:val="0"/>
              <w:autoSpaceDE/>
              <w:autoSpaceDN/>
              <w:bidi w:val="0"/>
              <w:spacing w:line="240" w:lineRule="auto"/>
              <w:ind w:left="0" w:leftChars="0" w:firstLine="0" w:firstLineChars="0"/>
              <w:jc w:val="center"/>
              <w:textAlignment w:val="auto"/>
              <w:rPr>
                <w:rFonts w:hint="eastAsia" w:ascii="Times New Roman" w:hAnsi="Times New Roman" w:eastAsia="仿宋_GB2312" w:cs="仿宋_GB2312"/>
                <w:b w:val="0"/>
                <w:bCs w:val="0"/>
                <w:sz w:val="24"/>
                <w:szCs w:val="24"/>
                <w:highlight w:val="none"/>
              </w:rPr>
            </w:pPr>
          </w:p>
        </w:tc>
        <w:tc>
          <w:tcPr>
            <w:tcW w:w="1557" w:type="pct"/>
            <w:vAlign w:val="center"/>
          </w:tcPr>
          <w:p w14:paraId="5C95FFB3">
            <w:pPr>
              <w:keepNext w:val="0"/>
              <w:keepLines w:val="0"/>
              <w:pageBreakBefore w:val="0"/>
              <w:widowControl w:val="0"/>
              <w:kinsoku/>
              <w:wordWrap/>
              <w:overflowPunct/>
              <w:topLinePunct w:val="0"/>
              <w:autoSpaceDE/>
              <w:autoSpaceDN/>
              <w:bidi w:val="0"/>
              <w:adjustRightInd w:val="0"/>
              <w:snapToGrid w:val="0"/>
              <w:spacing w:line="240" w:lineRule="auto"/>
              <w:ind w:left="0" w:firstLine="0"/>
              <w:jc w:val="both"/>
              <w:textAlignment w:val="auto"/>
              <w:rPr>
                <w:rFonts w:hint="eastAsia" w:ascii="Times New Roman" w:hAnsi="Times New Roman" w:eastAsia="仿宋_GB2312" w:cs="仿宋_GB2312"/>
                <w:b w:val="0"/>
                <w:bCs w:val="0"/>
                <w:snapToGrid w:val="0"/>
                <w:kern w:val="0"/>
                <w:sz w:val="24"/>
                <w:szCs w:val="24"/>
                <w:highlight w:val="none"/>
                <w:lang w:val="en-US" w:eastAsia="zh-CN" w:bidi="ar-SA"/>
              </w:rPr>
            </w:pPr>
            <w:r>
              <w:rPr>
                <w:rFonts w:hint="eastAsia" w:ascii="Times New Roman" w:hAnsi="Times New Roman" w:eastAsia="仿宋_GB2312" w:cs="仿宋_GB2312"/>
                <w:b w:val="0"/>
                <w:bCs w:val="0"/>
                <w:snapToGrid w:val="0"/>
                <w:kern w:val="0"/>
                <w:sz w:val="24"/>
                <w:szCs w:val="24"/>
                <w:highlight w:val="none"/>
              </w:rPr>
              <w:t>人均公园绿地面积（平方米/人）</w:t>
            </w:r>
          </w:p>
        </w:tc>
        <w:tc>
          <w:tcPr>
            <w:tcW w:w="1357" w:type="pct"/>
            <w:vAlign w:val="center"/>
          </w:tcPr>
          <w:p w14:paraId="36590EC0">
            <w:pPr>
              <w:keepNext w:val="0"/>
              <w:keepLines w:val="0"/>
              <w:pageBreakBefore w:val="0"/>
              <w:widowControl w:val="0"/>
              <w:kinsoku/>
              <w:wordWrap/>
              <w:overflowPunct/>
              <w:topLinePunct w:val="0"/>
              <w:autoSpaceDE/>
              <w:autoSpaceDN/>
              <w:bidi w:val="0"/>
              <w:adjustRightInd w:val="0"/>
              <w:snapToGrid w:val="0"/>
              <w:spacing w:line="240" w:lineRule="auto"/>
              <w:ind w:left="0" w:firstLine="0"/>
              <w:jc w:val="center"/>
              <w:textAlignment w:val="auto"/>
              <w:rPr>
                <w:rFonts w:hint="eastAsia" w:ascii="Times New Roman" w:hAnsi="Times New Roman" w:eastAsia="仿宋_GB2312" w:cs="仿宋_GB2312"/>
                <w:b w:val="0"/>
                <w:bCs w:val="0"/>
                <w:snapToGrid w:val="0"/>
                <w:kern w:val="0"/>
                <w:sz w:val="24"/>
                <w:szCs w:val="24"/>
                <w:highlight w:val="none"/>
                <w:lang w:val="en-US" w:eastAsia="zh-CN" w:bidi="ar-SA"/>
              </w:rPr>
            </w:pPr>
            <w:r>
              <w:rPr>
                <w:rFonts w:hint="eastAsia" w:ascii="Times New Roman" w:hAnsi="Times New Roman" w:eastAsia="仿宋_GB2312" w:cs="仿宋_GB2312"/>
                <w:b w:val="0"/>
                <w:bCs w:val="0"/>
                <w:snapToGrid w:val="0"/>
                <w:kern w:val="0"/>
                <w:sz w:val="24"/>
                <w:szCs w:val="24"/>
                <w:highlight w:val="none"/>
              </w:rPr>
              <w:t>≥</w:t>
            </w:r>
            <w:r>
              <w:rPr>
                <w:rFonts w:hint="eastAsia" w:ascii="Times New Roman" w:hAnsi="Times New Roman" w:eastAsia="仿宋_GB2312" w:cs="仿宋_GB2312"/>
                <w:b w:val="0"/>
                <w:bCs w:val="0"/>
                <w:snapToGrid w:val="0"/>
                <w:kern w:val="0"/>
                <w:sz w:val="24"/>
                <w:szCs w:val="24"/>
                <w:highlight w:val="none"/>
                <w:lang w:val="en-US" w:eastAsia="zh-CN"/>
              </w:rPr>
              <w:t>15.5</w:t>
            </w:r>
          </w:p>
        </w:tc>
        <w:tc>
          <w:tcPr>
            <w:tcW w:w="468" w:type="pct"/>
            <w:vAlign w:val="center"/>
          </w:tcPr>
          <w:p w14:paraId="73DAEE6C">
            <w:pPr>
              <w:keepNext w:val="0"/>
              <w:keepLines w:val="0"/>
              <w:pageBreakBefore w:val="0"/>
              <w:widowControl w:val="0"/>
              <w:kinsoku/>
              <w:wordWrap/>
              <w:overflowPunct/>
              <w:topLinePunct w:val="0"/>
              <w:autoSpaceDE/>
              <w:autoSpaceDN/>
              <w:bidi w:val="0"/>
              <w:adjustRightInd w:val="0"/>
              <w:snapToGrid w:val="0"/>
              <w:spacing w:line="240" w:lineRule="auto"/>
              <w:ind w:left="0" w:firstLine="0"/>
              <w:jc w:val="center"/>
              <w:textAlignment w:val="auto"/>
              <w:rPr>
                <w:rFonts w:hint="eastAsia" w:ascii="Times New Roman" w:hAnsi="Times New Roman" w:eastAsia="仿宋_GB2312" w:cs="仿宋_GB2312"/>
                <w:b w:val="0"/>
                <w:bCs w:val="0"/>
                <w:snapToGrid w:val="0"/>
                <w:kern w:val="0"/>
                <w:sz w:val="24"/>
                <w:szCs w:val="24"/>
                <w:highlight w:val="none"/>
                <w:lang w:val="en-US" w:eastAsia="zh-CN" w:bidi="ar-SA"/>
              </w:rPr>
            </w:pPr>
            <w:r>
              <w:rPr>
                <w:rFonts w:hint="eastAsia" w:ascii="Times New Roman" w:hAnsi="Times New Roman" w:eastAsia="仿宋_GB2312" w:cs="仿宋_GB2312"/>
                <w:b w:val="0"/>
                <w:bCs w:val="0"/>
                <w:snapToGrid w:val="0"/>
                <w:kern w:val="0"/>
                <w:sz w:val="24"/>
                <w:szCs w:val="24"/>
                <w:highlight w:val="none"/>
              </w:rPr>
              <w:t>城区</w:t>
            </w:r>
          </w:p>
        </w:tc>
        <w:tc>
          <w:tcPr>
            <w:tcW w:w="1040" w:type="pct"/>
            <w:vAlign w:val="center"/>
          </w:tcPr>
          <w:p w14:paraId="73FFBBE9">
            <w:pPr>
              <w:keepNext w:val="0"/>
              <w:keepLines w:val="0"/>
              <w:pageBreakBefore w:val="0"/>
              <w:widowControl w:val="0"/>
              <w:kinsoku/>
              <w:wordWrap/>
              <w:overflowPunct/>
              <w:topLinePunct w:val="0"/>
              <w:autoSpaceDE/>
              <w:autoSpaceDN/>
              <w:bidi w:val="0"/>
              <w:adjustRightInd w:val="0"/>
              <w:snapToGrid w:val="0"/>
              <w:spacing w:line="240" w:lineRule="auto"/>
              <w:ind w:left="0" w:firstLine="0"/>
              <w:jc w:val="center"/>
              <w:textAlignment w:val="auto"/>
              <w:rPr>
                <w:rFonts w:hint="eastAsia" w:ascii="Times New Roman" w:hAnsi="Times New Roman" w:eastAsia="仿宋_GB2312" w:cs="仿宋_GB2312"/>
                <w:b w:val="0"/>
                <w:bCs w:val="0"/>
                <w:snapToGrid w:val="0"/>
                <w:kern w:val="0"/>
                <w:sz w:val="24"/>
                <w:szCs w:val="24"/>
                <w:highlight w:val="none"/>
                <w:lang w:val="en-US" w:eastAsia="zh-CN" w:bidi="ar-SA"/>
              </w:rPr>
            </w:pPr>
            <w:r>
              <w:rPr>
                <w:rFonts w:hint="eastAsia" w:ascii="Times New Roman" w:hAnsi="Times New Roman" w:eastAsia="仿宋_GB2312" w:cs="仿宋_GB2312"/>
                <w:b w:val="0"/>
                <w:bCs w:val="0"/>
                <w:snapToGrid w:val="0"/>
                <w:kern w:val="0"/>
                <w:sz w:val="24"/>
                <w:szCs w:val="24"/>
                <w:highlight w:val="none"/>
              </w:rPr>
              <w:t>市城管委</w:t>
            </w:r>
          </w:p>
        </w:tc>
      </w:tr>
      <w:tr w14:paraId="4EA8F2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exact"/>
          <w:jc w:val="center"/>
        </w:trPr>
        <w:tc>
          <w:tcPr>
            <w:tcW w:w="261" w:type="pct"/>
            <w:vMerge w:val="continue"/>
            <w:vAlign w:val="center"/>
          </w:tcPr>
          <w:p w14:paraId="3392B052">
            <w:pPr>
              <w:keepNext w:val="0"/>
              <w:keepLines w:val="0"/>
              <w:pageBreakBefore w:val="0"/>
              <w:widowControl w:val="0"/>
              <w:kinsoku/>
              <w:wordWrap/>
              <w:overflowPunct/>
              <w:topLinePunct w:val="0"/>
              <w:autoSpaceDE/>
              <w:autoSpaceDN/>
              <w:bidi w:val="0"/>
              <w:spacing w:line="240" w:lineRule="auto"/>
              <w:ind w:left="0" w:firstLine="0"/>
              <w:jc w:val="both"/>
              <w:textAlignment w:val="auto"/>
              <w:rPr>
                <w:rFonts w:hint="eastAsia" w:ascii="Times New Roman" w:hAnsi="Times New Roman" w:eastAsia="仿宋_GB2312" w:cs="仿宋_GB2312"/>
                <w:b w:val="0"/>
                <w:bCs w:val="0"/>
                <w:sz w:val="24"/>
                <w:szCs w:val="24"/>
                <w:highlight w:val="none"/>
              </w:rPr>
            </w:pPr>
          </w:p>
        </w:tc>
        <w:tc>
          <w:tcPr>
            <w:tcW w:w="314" w:type="pct"/>
            <w:vAlign w:val="center"/>
          </w:tcPr>
          <w:p w14:paraId="44E5C9BC">
            <w:pPr>
              <w:keepNext w:val="0"/>
              <w:keepLines w:val="0"/>
              <w:pageBreakBefore w:val="0"/>
              <w:widowControl w:val="0"/>
              <w:numPr>
                <w:ilvl w:val="0"/>
                <w:numId w:val="3"/>
              </w:numPr>
              <w:kinsoku/>
              <w:wordWrap/>
              <w:overflowPunct/>
              <w:topLinePunct w:val="0"/>
              <w:autoSpaceDE/>
              <w:autoSpaceDN/>
              <w:bidi w:val="0"/>
              <w:spacing w:line="240" w:lineRule="auto"/>
              <w:ind w:left="0" w:leftChars="0" w:firstLine="0" w:firstLineChars="0"/>
              <w:jc w:val="center"/>
              <w:textAlignment w:val="auto"/>
              <w:rPr>
                <w:rFonts w:hint="eastAsia" w:ascii="Times New Roman" w:hAnsi="Times New Roman" w:eastAsia="仿宋_GB2312" w:cs="仿宋_GB2312"/>
                <w:b w:val="0"/>
                <w:bCs w:val="0"/>
                <w:sz w:val="24"/>
                <w:szCs w:val="24"/>
                <w:highlight w:val="none"/>
              </w:rPr>
            </w:pPr>
          </w:p>
        </w:tc>
        <w:tc>
          <w:tcPr>
            <w:tcW w:w="1557" w:type="pct"/>
            <w:vAlign w:val="center"/>
          </w:tcPr>
          <w:p w14:paraId="64D20D4A">
            <w:pPr>
              <w:keepNext w:val="0"/>
              <w:keepLines w:val="0"/>
              <w:pageBreakBefore w:val="0"/>
              <w:widowControl w:val="0"/>
              <w:kinsoku/>
              <w:wordWrap/>
              <w:overflowPunct/>
              <w:topLinePunct w:val="0"/>
              <w:autoSpaceDE/>
              <w:autoSpaceDN/>
              <w:bidi w:val="0"/>
              <w:adjustRightInd w:val="0"/>
              <w:snapToGrid w:val="0"/>
              <w:spacing w:line="240" w:lineRule="auto"/>
              <w:ind w:left="0" w:firstLine="0"/>
              <w:jc w:val="both"/>
              <w:textAlignment w:val="auto"/>
              <w:rPr>
                <w:rFonts w:hint="eastAsia" w:ascii="Times New Roman" w:hAnsi="Times New Roman" w:eastAsia="仿宋_GB2312" w:cs="仿宋_GB2312"/>
                <w:b w:val="0"/>
                <w:bCs w:val="0"/>
                <w:snapToGrid w:val="0"/>
                <w:kern w:val="0"/>
                <w:sz w:val="24"/>
                <w:szCs w:val="24"/>
                <w:highlight w:val="none"/>
                <w:lang w:val="en-US" w:eastAsia="zh-CN" w:bidi="ar-SA"/>
              </w:rPr>
            </w:pPr>
            <w:r>
              <w:rPr>
                <w:rFonts w:hint="eastAsia" w:ascii="Times New Roman" w:hAnsi="Times New Roman" w:eastAsia="仿宋_GB2312" w:cs="仿宋_GB2312"/>
                <w:b w:val="0"/>
                <w:bCs w:val="0"/>
                <w:snapToGrid w:val="0"/>
                <w:kern w:val="0"/>
                <w:sz w:val="24"/>
                <w:szCs w:val="24"/>
                <w:highlight w:val="none"/>
                <w:lang w:val="en-US" w:eastAsia="zh-CN"/>
              </w:rPr>
              <w:t>城市</w:t>
            </w:r>
            <w:r>
              <w:rPr>
                <w:rFonts w:hint="eastAsia" w:ascii="Times New Roman" w:hAnsi="Times New Roman" w:eastAsia="仿宋_GB2312" w:cs="仿宋_GB2312"/>
                <w:b w:val="0"/>
                <w:bCs w:val="0"/>
                <w:snapToGrid w:val="0"/>
                <w:kern w:val="0"/>
                <w:sz w:val="24"/>
                <w:szCs w:val="24"/>
                <w:highlight w:val="none"/>
              </w:rPr>
              <w:t>绿化覆盖率（%）</w:t>
            </w:r>
          </w:p>
        </w:tc>
        <w:tc>
          <w:tcPr>
            <w:tcW w:w="1357" w:type="pct"/>
            <w:vAlign w:val="center"/>
          </w:tcPr>
          <w:p w14:paraId="04CD6E71">
            <w:pPr>
              <w:keepNext w:val="0"/>
              <w:keepLines w:val="0"/>
              <w:pageBreakBefore w:val="0"/>
              <w:widowControl w:val="0"/>
              <w:kinsoku/>
              <w:wordWrap/>
              <w:overflowPunct/>
              <w:topLinePunct w:val="0"/>
              <w:autoSpaceDE/>
              <w:autoSpaceDN/>
              <w:bidi w:val="0"/>
              <w:adjustRightInd w:val="0"/>
              <w:snapToGrid w:val="0"/>
              <w:spacing w:line="240" w:lineRule="auto"/>
              <w:ind w:left="0" w:firstLine="0"/>
              <w:jc w:val="center"/>
              <w:textAlignment w:val="auto"/>
              <w:rPr>
                <w:rFonts w:hint="eastAsia" w:ascii="Times New Roman" w:hAnsi="Times New Roman" w:eastAsia="仿宋_GB2312" w:cs="仿宋_GB2312"/>
                <w:b w:val="0"/>
                <w:bCs w:val="0"/>
                <w:snapToGrid w:val="0"/>
                <w:kern w:val="0"/>
                <w:sz w:val="24"/>
                <w:szCs w:val="24"/>
                <w:highlight w:val="none"/>
                <w:lang w:val="en-US" w:eastAsia="zh-CN" w:bidi="ar-SA"/>
              </w:rPr>
            </w:pPr>
            <w:r>
              <w:rPr>
                <w:rFonts w:hint="eastAsia" w:ascii="Times New Roman" w:hAnsi="Times New Roman" w:eastAsia="仿宋_GB2312" w:cs="仿宋_GB2312"/>
                <w:b w:val="0"/>
                <w:bCs w:val="0"/>
                <w:snapToGrid w:val="0"/>
                <w:kern w:val="0"/>
                <w:sz w:val="24"/>
                <w:szCs w:val="24"/>
                <w:highlight w:val="none"/>
              </w:rPr>
              <w:t>持续提升</w:t>
            </w:r>
          </w:p>
        </w:tc>
        <w:tc>
          <w:tcPr>
            <w:tcW w:w="468" w:type="pct"/>
            <w:vAlign w:val="center"/>
          </w:tcPr>
          <w:p w14:paraId="441AC1B4">
            <w:pPr>
              <w:keepNext w:val="0"/>
              <w:keepLines w:val="0"/>
              <w:pageBreakBefore w:val="0"/>
              <w:widowControl w:val="0"/>
              <w:kinsoku/>
              <w:wordWrap/>
              <w:overflowPunct/>
              <w:topLinePunct w:val="0"/>
              <w:autoSpaceDE/>
              <w:autoSpaceDN/>
              <w:bidi w:val="0"/>
              <w:adjustRightInd w:val="0"/>
              <w:snapToGrid w:val="0"/>
              <w:spacing w:line="240" w:lineRule="auto"/>
              <w:ind w:left="0" w:firstLine="0"/>
              <w:jc w:val="center"/>
              <w:textAlignment w:val="auto"/>
              <w:rPr>
                <w:rFonts w:hint="eastAsia" w:ascii="Times New Roman" w:hAnsi="Times New Roman" w:eastAsia="仿宋_GB2312" w:cs="仿宋_GB2312"/>
                <w:b w:val="0"/>
                <w:bCs w:val="0"/>
                <w:snapToGrid w:val="0"/>
                <w:kern w:val="0"/>
                <w:sz w:val="24"/>
                <w:szCs w:val="24"/>
                <w:highlight w:val="none"/>
                <w:lang w:val="en-US" w:eastAsia="zh-CN" w:bidi="ar-SA"/>
              </w:rPr>
            </w:pPr>
            <w:r>
              <w:rPr>
                <w:rFonts w:hint="eastAsia" w:ascii="Times New Roman" w:hAnsi="Times New Roman" w:eastAsia="仿宋_GB2312" w:cs="仿宋_GB2312"/>
                <w:b w:val="0"/>
                <w:bCs w:val="0"/>
                <w:snapToGrid w:val="0"/>
                <w:kern w:val="0"/>
                <w:sz w:val="24"/>
                <w:szCs w:val="24"/>
                <w:highlight w:val="none"/>
              </w:rPr>
              <w:t>城区</w:t>
            </w:r>
          </w:p>
        </w:tc>
        <w:tc>
          <w:tcPr>
            <w:tcW w:w="1040" w:type="pct"/>
            <w:vAlign w:val="center"/>
          </w:tcPr>
          <w:p w14:paraId="3FEE74E4">
            <w:pPr>
              <w:keepNext w:val="0"/>
              <w:keepLines w:val="0"/>
              <w:pageBreakBefore w:val="0"/>
              <w:widowControl w:val="0"/>
              <w:kinsoku/>
              <w:wordWrap/>
              <w:overflowPunct/>
              <w:topLinePunct w:val="0"/>
              <w:autoSpaceDE/>
              <w:autoSpaceDN/>
              <w:bidi w:val="0"/>
              <w:adjustRightInd w:val="0"/>
              <w:snapToGrid w:val="0"/>
              <w:spacing w:line="240" w:lineRule="auto"/>
              <w:ind w:left="0" w:firstLine="0"/>
              <w:jc w:val="center"/>
              <w:textAlignment w:val="auto"/>
              <w:rPr>
                <w:rFonts w:hint="eastAsia" w:ascii="Times New Roman" w:hAnsi="Times New Roman" w:eastAsia="仿宋_GB2312" w:cs="仿宋_GB2312"/>
                <w:b w:val="0"/>
                <w:bCs w:val="0"/>
                <w:snapToGrid w:val="0"/>
                <w:kern w:val="0"/>
                <w:sz w:val="24"/>
                <w:szCs w:val="24"/>
                <w:highlight w:val="none"/>
                <w:lang w:val="en-US" w:eastAsia="zh-CN" w:bidi="ar-SA"/>
              </w:rPr>
            </w:pPr>
            <w:r>
              <w:rPr>
                <w:rFonts w:hint="eastAsia" w:ascii="Times New Roman" w:hAnsi="Times New Roman" w:eastAsia="仿宋_GB2312" w:cs="仿宋_GB2312"/>
                <w:b w:val="0"/>
                <w:bCs w:val="0"/>
                <w:snapToGrid w:val="0"/>
                <w:kern w:val="0"/>
                <w:sz w:val="24"/>
                <w:szCs w:val="24"/>
                <w:highlight w:val="none"/>
              </w:rPr>
              <w:t>市城管委</w:t>
            </w:r>
          </w:p>
        </w:tc>
      </w:tr>
      <w:tr w14:paraId="6C4BD9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exact"/>
          <w:jc w:val="center"/>
        </w:trPr>
        <w:tc>
          <w:tcPr>
            <w:tcW w:w="261" w:type="pct"/>
            <w:vMerge w:val="continue"/>
            <w:vAlign w:val="center"/>
          </w:tcPr>
          <w:p w14:paraId="3C24785F">
            <w:pPr>
              <w:keepNext w:val="0"/>
              <w:keepLines w:val="0"/>
              <w:pageBreakBefore w:val="0"/>
              <w:widowControl w:val="0"/>
              <w:kinsoku/>
              <w:wordWrap/>
              <w:overflowPunct/>
              <w:topLinePunct w:val="0"/>
              <w:autoSpaceDE/>
              <w:autoSpaceDN/>
              <w:bidi w:val="0"/>
              <w:spacing w:line="240" w:lineRule="auto"/>
              <w:ind w:left="0" w:firstLine="0"/>
              <w:jc w:val="both"/>
              <w:textAlignment w:val="auto"/>
              <w:rPr>
                <w:rFonts w:hint="eastAsia" w:ascii="Times New Roman" w:hAnsi="Times New Roman" w:eastAsia="仿宋_GB2312" w:cs="仿宋_GB2312"/>
                <w:b w:val="0"/>
                <w:bCs w:val="0"/>
                <w:sz w:val="24"/>
                <w:szCs w:val="24"/>
                <w:highlight w:val="none"/>
              </w:rPr>
            </w:pPr>
          </w:p>
        </w:tc>
        <w:tc>
          <w:tcPr>
            <w:tcW w:w="314" w:type="pct"/>
            <w:vAlign w:val="center"/>
          </w:tcPr>
          <w:p w14:paraId="17A0B34C">
            <w:pPr>
              <w:keepNext w:val="0"/>
              <w:keepLines w:val="0"/>
              <w:pageBreakBefore w:val="0"/>
              <w:widowControl w:val="0"/>
              <w:numPr>
                <w:ilvl w:val="0"/>
                <w:numId w:val="3"/>
              </w:numPr>
              <w:kinsoku/>
              <w:wordWrap/>
              <w:overflowPunct/>
              <w:topLinePunct w:val="0"/>
              <w:autoSpaceDE/>
              <w:autoSpaceDN/>
              <w:bidi w:val="0"/>
              <w:spacing w:line="240" w:lineRule="auto"/>
              <w:ind w:left="0" w:leftChars="0" w:firstLine="0" w:firstLineChars="0"/>
              <w:jc w:val="center"/>
              <w:textAlignment w:val="auto"/>
              <w:rPr>
                <w:rFonts w:hint="eastAsia" w:ascii="Times New Roman" w:hAnsi="Times New Roman" w:eastAsia="仿宋_GB2312" w:cs="仿宋_GB2312"/>
                <w:b w:val="0"/>
                <w:bCs w:val="0"/>
                <w:sz w:val="24"/>
                <w:szCs w:val="24"/>
                <w:highlight w:val="none"/>
              </w:rPr>
            </w:pPr>
          </w:p>
        </w:tc>
        <w:tc>
          <w:tcPr>
            <w:tcW w:w="1557" w:type="pct"/>
            <w:vAlign w:val="center"/>
          </w:tcPr>
          <w:p w14:paraId="0AE90466">
            <w:pPr>
              <w:keepNext w:val="0"/>
              <w:keepLines w:val="0"/>
              <w:pageBreakBefore w:val="0"/>
              <w:widowControl w:val="0"/>
              <w:kinsoku/>
              <w:wordWrap/>
              <w:overflowPunct/>
              <w:topLinePunct w:val="0"/>
              <w:autoSpaceDE/>
              <w:autoSpaceDN/>
              <w:bidi w:val="0"/>
              <w:adjustRightInd w:val="0"/>
              <w:snapToGrid w:val="0"/>
              <w:spacing w:line="240" w:lineRule="auto"/>
              <w:ind w:left="0" w:firstLine="0"/>
              <w:jc w:val="both"/>
              <w:textAlignment w:val="auto"/>
              <w:rPr>
                <w:rFonts w:hint="eastAsia" w:ascii="Times New Roman" w:hAnsi="Times New Roman" w:eastAsia="仿宋_GB2312" w:cs="仿宋_GB2312"/>
                <w:b w:val="0"/>
                <w:bCs w:val="0"/>
                <w:snapToGrid w:val="0"/>
                <w:kern w:val="0"/>
                <w:sz w:val="24"/>
                <w:szCs w:val="24"/>
                <w:highlight w:val="none"/>
                <w:lang w:val="en-US" w:eastAsia="zh-CN" w:bidi="ar-SA"/>
              </w:rPr>
            </w:pPr>
            <w:r>
              <w:rPr>
                <w:rFonts w:hint="eastAsia" w:ascii="Times New Roman" w:hAnsi="Times New Roman" w:eastAsia="仿宋_GB2312" w:cs="仿宋_GB2312"/>
                <w:b w:val="0"/>
                <w:bCs w:val="0"/>
                <w:snapToGrid w:val="0"/>
                <w:kern w:val="0"/>
                <w:sz w:val="24"/>
                <w:szCs w:val="24"/>
                <w:highlight w:val="none"/>
              </w:rPr>
              <w:t>城市生态功能指数</w:t>
            </w:r>
          </w:p>
        </w:tc>
        <w:tc>
          <w:tcPr>
            <w:tcW w:w="1357" w:type="pct"/>
            <w:vAlign w:val="center"/>
          </w:tcPr>
          <w:p w14:paraId="41877F68">
            <w:pPr>
              <w:keepNext w:val="0"/>
              <w:keepLines w:val="0"/>
              <w:pageBreakBefore w:val="0"/>
              <w:widowControl w:val="0"/>
              <w:kinsoku/>
              <w:wordWrap/>
              <w:overflowPunct/>
              <w:topLinePunct w:val="0"/>
              <w:autoSpaceDE/>
              <w:autoSpaceDN/>
              <w:bidi w:val="0"/>
              <w:adjustRightInd w:val="0"/>
              <w:snapToGrid w:val="0"/>
              <w:spacing w:line="240" w:lineRule="auto"/>
              <w:ind w:left="0" w:firstLine="0"/>
              <w:jc w:val="center"/>
              <w:textAlignment w:val="auto"/>
              <w:rPr>
                <w:rFonts w:hint="eastAsia" w:ascii="Times New Roman" w:hAnsi="Times New Roman" w:eastAsia="仿宋_GB2312" w:cs="仿宋_GB2312"/>
                <w:b w:val="0"/>
                <w:bCs w:val="0"/>
                <w:snapToGrid w:val="0"/>
                <w:kern w:val="0"/>
                <w:sz w:val="24"/>
                <w:szCs w:val="24"/>
                <w:highlight w:val="none"/>
                <w:lang w:val="en-US" w:eastAsia="zh-CN" w:bidi="ar-SA"/>
              </w:rPr>
            </w:pPr>
            <w:r>
              <w:rPr>
                <w:rFonts w:hint="eastAsia" w:ascii="Times New Roman" w:hAnsi="Times New Roman" w:eastAsia="仿宋_GB2312" w:cs="仿宋_GB2312"/>
                <w:b w:val="0"/>
                <w:bCs w:val="0"/>
                <w:snapToGrid w:val="0"/>
                <w:kern w:val="0"/>
                <w:sz w:val="24"/>
                <w:szCs w:val="24"/>
                <w:highlight w:val="none"/>
              </w:rPr>
              <w:t>等级不下降</w:t>
            </w:r>
          </w:p>
        </w:tc>
        <w:tc>
          <w:tcPr>
            <w:tcW w:w="468" w:type="pct"/>
            <w:vAlign w:val="center"/>
          </w:tcPr>
          <w:p w14:paraId="468A0B84">
            <w:pPr>
              <w:keepNext w:val="0"/>
              <w:keepLines w:val="0"/>
              <w:pageBreakBefore w:val="0"/>
              <w:widowControl w:val="0"/>
              <w:kinsoku/>
              <w:wordWrap/>
              <w:overflowPunct/>
              <w:topLinePunct w:val="0"/>
              <w:autoSpaceDE/>
              <w:autoSpaceDN/>
              <w:bidi w:val="0"/>
              <w:adjustRightInd w:val="0"/>
              <w:snapToGrid w:val="0"/>
              <w:spacing w:line="240" w:lineRule="auto"/>
              <w:ind w:left="0" w:firstLine="0"/>
              <w:jc w:val="center"/>
              <w:textAlignment w:val="auto"/>
              <w:rPr>
                <w:rFonts w:hint="eastAsia" w:ascii="Times New Roman" w:hAnsi="Times New Roman" w:eastAsia="仿宋_GB2312" w:cs="仿宋_GB2312"/>
                <w:b w:val="0"/>
                <w:bCs w:val="0"/>
                <w:snapToGrid w:val="0"/>
                <w:kern w:val="0"/>
                <w:sz w:val="24"/>
                <w:szCs w:val="24"/>
                <w:highlight w:val="none"/>
                <w:lang w:val="en-US" w:eastAsia="zh-CN" w:bidi="ar-SA"/>
              </w:rPr>
            </w:pPr>
            <w:r>
              <w:rPr>
                <w:rFonts w:hint="eastAsia" w:ascii="Times New Roman" w:hAnsi="Times New Roman" w:eastAsia="仿宋_GB2312" w:cs="仿宋_GB2312"/>
                <w:b w:val="0"/>
                <w:bCs w:val="0"/>
                <w:snapToGrid w:val="0"/>
                <w:kern w:val="0"/>
                <w:sz w:val="24"/>
                <w:szCs w:val="24"/>
                <w:highlight w:val="none"/>
              </w:rPr>
              <w:t>市域</w:t>
            </w:r>
          </w:p>
        </w:tc>
        <w:tc>
          <w:tcPr>
            <w:tcW w:w="1040" w:type="pct"/>
            <w:vAlign w:val="center"/>
          </w:tcPr>
          <w:p w14:paraId="669F2514">
            <w:pPr>
              <w:keepNext w:val="0"/>
              <w:keepLines w:val="0"/>
              <w:pageBreakBefore w:val="0"/>
              <w:widowControl w:val="0"/>
              <w:kinsoku/>
              <w:wordWrap/>
              <w:overflowPunct/>
              <w:topLinePunct w:val="0"/>
              <w:autoSpaceDE/>
              <w:autoSpaceDN/>
              <w:bidi w:val="0"/>
              <w:adjustRightInd w:val="0"/>
              <w:snapToGrid w:val="0"/>
              <w:spacing w:line="240" w:lineRule="auto"/>
              <w:ind w:left="0" w:firstLine="0"/>
              <w:jc w:val="center"/>
              <w:textAlignment w:val="auto"/>
              <w:rPr>
                <w:rFonts w:hint="eastAsia" w:ascii="Times New Roman" w:hAnsi="Times New Roman" w:eastAsia="仿宋_GB2312" w:cs="仿宋_GB2312"/>
                <w:b w:val="0"/>
                <w:bCs w:val="0"/>
                <w:snapToGrid w:val="0"/>
                <w:kern w:val="0"/>
                <w:sz w:val="24"/>
                <w:szCs w:val="24"/>
                <w:highlight w:val="none"/>
                <w:lang w:val="en-US" w:eastAsia="zh-CN" w:bidi="ar-SA"/>
              </w:rPr>
            </w:pPr>
            <w:r>
              <w:rPr>
                <w:rFonts w:hint="eastAsia" w:ascii="Times New Roman" w:hAnsi="Times New Roman" w:eastAsia="仿宋_GB2312" w:cs="仿宋_GB2312"/>
                <w:b w:val="0"/>
                <w:bCs w:val="0"/>
                <w:snapToGrid w:val="0"/>
                <w:kern w:val="0"/>
                <w:sz w:val="24"/>
                <w:szCs w:val="24"/>
                <w:highlight w:val="none"/>
              </w:rPr>
              <w:t>市生态环境局</w:t>
            </w:r>
          </w:p>
        </w:tc>
      </w:tr>
      <w:tr w14:paraId="3EC9A3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0" w:hRule="exact"/>
          <w:jc w:val="center"/>
        </w:trPr>
        <w:tc>
          <w:tcPr>
            <w:tcW w:w="261" w:type="pct"/>
            <w:vMerge w:val="continue"/>
          </w:tcPr>
          <w:p w14:paraId="58439611">
            <w:pPr>
              <w:keepNext w:val="0"/>
              <w:keepLines w:val="0"/>
              <w:pageBreakBefore w:val="0"/>
              <w:widowControl w:val="0"/>
              <w:kinsoku/>
              <w:wordWrap/>
              <w:overflowPunct/>
              <w:topLinePunct w:val="0"/>
              <w:autoSpaceDE/>
              <w:autoSpaceDN/>
              <w:bidi w:val="0"/>
              <w:spacing w:line="240" w:lineRule="auto"/>
              <w:ind w:left="0" w:firstLine="0"/>
              <w:jc w:val="both"/>
              <w:textAlignment w:val="auto"/>
              <w:rPr>
                <w:rFonts w:ascii="Times New Roman" w:hAnsi="Times New Roman" w:eastAsia="仿宋_GB2312" w:cs="仿宋_GB2312"/>
                <w:b w:val="0"/>
                <w:bCs w:val="0"/>
                <w:sz w:val="24"/>
                <w:szCs w:val="24"/>
                <w:highlight w:val="none"/>
              </w:rPr>
            </w:pPr>
          </w:p>
        </w:tc>
        <w:tc>
          <w:tcPr>
            <w:tcW w:w="314" w:type="pct"/>
            <w:vAlign w:val="center"/>
          </w:tcPr>
          <w:p w14:paraId="40B19B91">
            <w:pPr>
              <w:keepNext w:val="0"/>
              <w:keepLines w:val="0"/>
              <w:pageBreakBefore w:val="0"/>
              <w:widowControl w:val="0"/>
              <w:numPr>
                <w:ilvl w:val="0"/>
                <w:numId w:val="3"/>
              </w:numPr>
              <w:kinsoku/>
              <w:wordWrap/>
              <w:overflowPunct/>
              <w:topLinePunct w:val="0"/>
              <w:autoSpaceDE/>
              <w:autoSpaceDN/>
              <w:bidi w:val="0"/>
              <w:spacing w:line="240" w:lineRule="auto"/>
              <w:ind w:left="0" w:leftChars="0" w:firstLine="0" w:firstLineChars="0"/>
              <w:jc w:val="center"/>
              <w:textAlignment w:val="auto"/>
              <w:rPr>
                <w:rFonts w:ascii="Times New Roman" w:hAnsi="Times New Roman" w:eastAsia="仿宋_GB2312" w:cs="仿宋_GB2312"/>
                <w:b w:val="0"/>
                <w:bCs w:val="0"/>
                <w:kern w:val="2"/>
                <w:sz w:val="24"/>
                <w:szCs w:val="24"/>
                <w:highlight w:val="none"/>
                <w:lang w:val="en-US" w:eastAsia="zh-CN" w:bidi="ar-SA"/>
              </w:rPr>
            </w:pPr>
          </w:p>
        </w:tc>
        <w:tc>
          <w:tcPr>
            <w:tcW w:w="1557" w:type="pct"/>
            <w:vAlign w:val="center"/>
          </w:tcPr>
          <w:p w14:paraId="05344F43">
            <w:pPr>
              <w:keepNext w:val="0"/>
              <w:keepLines w:val="0"/>
              <w:pageBreakBefore w:val="0"/>
              <w:widowControl w:val="0"/>
              <w:kinsoku/>
              <w:wordWrap/>
              <w:overflowPunct/>
              <w:topLinePunct w:val="0"/>
              <w:autoSpaceDE/>
              <w:autoSpaceDN/>
              <w:bidi w:val="0"/>
              <w:adjustRightInd w:val="0"/>
              <w:snapToGrid w:val="0"/>
              <w:spacing w:line="240" w:lineRule="auto"/>
              <w:ind w:left="0" w:firstLine="0"/>
              <w:jc w:val="both"/>
              <w:textAlignment w:val="auto"/>
              <w:rPr>
                <w:rFonts w:hint="eastAsia" w:ascii="Times New Roman" w:hAnsi="Times New Roman" w:eastAsia="仿宋_GB2312" w:cs="仿宋_GB2312"/>
                <w:b w:val="0"/>
                <w:bCs w:val="0"/>
                <w:snapToGrid w:val="0"/>
                <w:kern w:val="0"/>
                <w:sz w:val="24"/>
                <w:szCs w:val="24"/>
                <w:highlight w:val="none"/>
                <w:lang w:val="en-US" w:eastAsia="zh-CN" w:bidi="ar-SA"/>
              </w:rPr>
            </w:pPr>
            <w:r>
              <w:rPr>
                <w:rFonts w:hint="eastAsia" w:ascii="Times New Roman" w:hAnsi="Times New Roman" w:eastAsia="仿宋_GB2312" w:cs="仿宋_GB2312"/>
                <w:b w:val="0"/>
                <w:bCs w:val="0"/>
                <w:snapToGrid w:val="0"/>
                <w:kern w:val="0"/>
                <w:sz w:val="24"/>
                <w:szCs w:val="24"/>
                <w:highlight w:val="none"/>
                <w:lang w:val="en-US" w:eastAsia="zh-CN"/>
              </w:rPr>
              <w:t>本土物种生物多样性水平</w:t>
            </w:r>
          </w:p>
        </w:tc>
        <w:tc>
          <w:tcPr>
            <w:tcW w:w="1357" w:type="pct"/>
            <w:vAlign w:val="center"/>
          </w:tcPr>
          <w:p w14:paraId="4E866D0E">
            <w:pPr>
              <w:keepNext w:val="0"/>
              <w:keepLines w:val="0"/>
              <w:pageBreakBefore w:val="0"/>
              <w:widowControl w:val="0"/>
              <w:kinsoku/>
              <w:wordWrap/>
              <w:overflowPunct/>
              <w:topLinePunct w:val="0"/>
              <w:autoSpaceDE/>
              <w:autoSpaceDN/>
              <w:bidi w:val="0"/>
              <w:adjustRightInd w:val="0"/>
              <w:snapToGrid w:val="0"/>
              <w:spacing w:line="240" w:lineRule="auto"/>
              <w:ind w:left="0" w:firstLine="0"/>
              <w:jc w:val="center"/>
              <w:textAlignment w:val="auto"/>
              <w:rPr>
                <w:rFonts w:hint="default" w:ascii="Times New Roman" w:hAnsi="Times New Roman" w:eastAsia="仿宋_GB2312" w:cs="仿宋_GB2312"/>
                <w:b w:val="0"/>
                <w:bCs w:val="0"/>
                <w:snapToGrid w:val="0"/>
                <w:kern w:val="0"/>
                <w:sz w:val="24"/>
                <w:szCs w:val="24"/>
                <w:highlight w:val="none"/>
                <w:lang w:val="en-US" w:eastAsia="zh-CN" w:bidi="ar-SA"/>
              </w:rPr>
            </w:pPr>
            <w:r>
              <w:rPr>
                <w:rFonts w:hint="eastAsia" w:ascii="Times New Roman" w:hAnsi="Times New Roman" w:eastAsia="仿宋_GB2312" w:cs="仿宋_GB2312"/>
                <w:b w:val="0"/>
                <w:bCs w:val="0"/>
                <w:snapToGrid w:val="0"/>
                <w:kern w:val="0"/>
                <w:sz w:val="24"/>
                <w:szCs w:val="24"/>
                <w:highlight w:val="none"/>
                <w:lang w:val="en-US" w:eastAsia="zh-CN"/>
              </w:rPr>
              <w:t>持续提升</w:t>
            </w:r>
          </w:p>
        </w:tc>
        <w:tc>
          <w:tcPr>
            <w:tcW w:w="468" w:type="pct"/>
            <w:vAlign w:val="center"/>
          </w:tcPr>
          <w:p w14:paraId="480B93B4">
            <w:pPr>
              <w:keepNext w:val="0"/>
              <w:keepLines w:val="0"/>
              <w:pageBreakBefore w:val="0"/>
              <w:widowControl w:val="0"/>
              <w:kinsoku/>
              <w:wordWrap/>
              <w:overflowPunct/>
              <w:topLinePunct w:val="0"/>
              <w:autoSpaceDE/>
              <w:autoSpaceDN/>
              <w:bidi w:val="0"/>
              <w:adjustRightInd w:val="0"/>
              <w:snapToGrid w:val="0"/>
              <w:spacing w:line="240" w:lineRule="auto"/>
              <w:ind w:left="0" w:firstLine="0"/>
              <w:jc w:val="center"/>
              <w:textAlignment w:val="auto"/>
              <w:rPr>
                <w:rFonts w:hint="eastAsia" w:ascii="Times New Roman" w:hAnsi="Times New Roman" w:eastAsia="仿宋_GB2312" w:cs="仿宋_GB2312"/>
                <w:b w:val="0"/>
                <w:bCs w:val="0"/>
                <w:snapToGrid w:val="0"/>
                <w:kern w:val="0"/>
                <w:sz w:val="24"/>
                <w:szCs w:val="24"/>
                <w:highlight w:val="none"/>
                <w:lang w:val="en-US" w:eastAsia="zh-CN" w:bidi="ar-SA"/>
              </w:rPr>
            </w:pPr>
            <w:r>
              <w:rPr>
                <w:rFonts w:hint="eastAsia" w:ascii="Times New Roman" w:hAnsi="Times New Roman" w:eastAsia="仿宋_GB2312" w:cs="仿宋_GB2312"/>
                <w:b w:val="0"/>
                <w:bCs w:val="0"/>
                <w:snapToGrid w:val="0"/>
                <w:kern w:val="0"/>
                <w:sz w:val="24"/>
                <w:szCs w:val="24"/>
                <w:highlight w:val="none"/>
              </w:rPr>
              <w:t>市域</w:t>
            </w:r>
          </w:p>
        </w:tc>
        <w:tc>
          <w:tcPr>
            <w:tcW w:w="1040" w:type="pct"/>
            <w:vAlign w:val="center"/>
          </w:tcPr>
          <w:p w14:paraId="3BF64E29">
            <w:pPr>
              <w:keepNext w:val="0"/>
              <w:keepLines w:val="0"/>
              <w:pageBreakBefore w:val="0"/>
              <w:widowControl w:val="0"/>
              <w:kinsoku/>
              <w:wordWrap/>
              <w:overflowPunct/>
              <w:topLinePunct w:val="0"/>
              <w:autoSpaceDE/>
              <w:autoSpaceDN/>
              <w:bidi w:val="0"/>
              <w:adjustRightInd w:val="0"/>
              <w:snapToGrid w:val="0"/>
              <w:spacing w:line="240" w:lineRule="auto"/>
              <w:ind w:left="0" w:firstLine="0"/>
              <w:jc w:val="center"/>
              <w:textAlignment w:val="auto"/>
              <w:rPr>
                <w:rFonts w:hint="eastAsia" w:ascii="Times New Roman" w:hAnsi="Times New Roman" w:eastAsia="仿宋_GB2312" w:cs="仿宋_GB2312"/>
                <w:b w:val="0"/>
                <w:bCs w:val="0"/>
                <w:snapToGrid w:val="0"/>
                <w:kern w:val="0"/>
                <w:sz w:val="24"/>
                <w:szCs w:val="24"/>
                <w:highlight w:val="none"/>
                <w:lang w:val="en-US" w:eastAsia="zh-CN" w:bidi="ar-SA"/>
              </w:rPr>
            </w:pPr>
            <w:r>
              <w:rPr>
                <w:rFonts w:hint="eastAsia" w:ascii="Times New Roman" w:hAnsi="Times New Roman" w:eastAsia="仿宋_GB2312" w:cs="仿宋_GB2312"/>
                <w:b w:val="0"/>
                <w:bCs w:val="0"/>
                <w:snapToGrid w:val="0"/>
                <w:kern w:val="0"/>
                <w:sz w:val="24"/>
                <w:szCs w:val="24"/>
                <w:highlight w:val="none"/>
              </w:rPr>
              <w:t>市生态环境局</w:t>
            </w:r>
            <w:r>
              <w:rPr>
                <w:rFonts w:hint="eastAsia" w:ascii="Times New Roman" w:hAnsi="Times New Roman" w:eastAsia="仿宋_GB2312" w:cs="仿宋_GB2312"/>
                <w:b w:val="0"/>
                <w:bCs w:val="0"/>
                <w:snapToGrid w:val="0"/>
                <w:kern w:val="0"/>
                <w:sz w:val="24"/>
                <w:szCs w:val="24"/>
                <w:highlight w:val="none"/>
                <w:lang w:eastAsia="zh-CN"/>
              </w:rPr>
              <w:t>、</w:t>
            </w:r>
            <w:r>
              <w:rPr>
                <w:rFonts w:hint="eastAsia" w:ascii="Times New Roman" w:hAnsi="Times New Roman" w:eastAsia="仿宋_GB2312" w:cs="仿宋_GB2312"/>
                <w:b w:val="0"/>
                <w:bCs w:val="0"/>
                <w:snapToGrid w:val="0"/>
                <w:kern w:val="0"/>
                <w:sz w:val="24"/>
                <w:szCs w:val="24"/>
                <w:highlight w:val="none"/>
              </w:rPr>
              <w:t>市</w:t>
            </w:r>
            <w:r>
              <w:rPr>
                <w:rFonts w:hint="eastAsia" w:ascii="Times New Roman" w:hAnsi="Times New Roman" w:eastAsia="仿宋_GB2312" w:cs="仿宋_GB2312"/>
                <w:b w:val="0"/>
                <w:bCs w:val="0"/>
                <w:snapToGrid w:val="0"/>
                <w:kern w:val="0"/>
                <w:sz w:val="24"/>
                <w:szCs w:val="24"/>
                <w:highlight w:val="none"/>
                <w:lang w:eastAsia="zh-CN"/>
              </w:rPr>
              <w:t>自然资源</w:t>
            </w:r>
            <w:r>
              <w:rPr>
                <w:rFonts w:hint="eastAsia" w:ascii="Times New Roman" w:hAnsi="Times New Roman" w:eastAsia="仿宋_GB2312" w:cs="仿宋_GB2312"/>
                <w:b w:val="0"/>
                <w:bCs w:val="0"/>
                <w:snapToGrid w:val="0"/>
                <w:kern w:val="0"/>
                <w:sz w:val="24"/>
                <w:szCs w:val="24"/>
                <w:highlight w:val="none"/>
                <w:lang w:val="en-US" w:eastAsia="zh-CN"/>
              </w:rPr>
              <w:t>和城乡建设局</w:t>
            </w:r>
          </w:p>
        </w:tc>
      </w:tr>
      <w:tr w14:paraId="358AA9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exact"/>
          <w:jc w:val="center"/>
        </w:trPr>
        <w:tc>
          <w:tcPr>
            <w:tcW w:w="261" w:type="pct"/>
            <w:vMerge w:val="continue"/>
          </w:tcPr>
          <w:p w14:paraId="372BB03A">
            <w:pPr>
              <w:keepNext w:val="0"/>
              <w:keepLines w:val="0"/>
              <w:pageBreakBefore w:val="0"/>
              <w:widowControl w:val="0"/>
              <w:kinsoku/>
              <w:wordWrap/>
              <w:overflowPunct/>
              <w:topLinePunct w:val="0"/>
              <w:autoSpaceDE/>
              <w:autoSpaceDN/>
              <w:bidi w:val="0"/>
              <w:spacing w:line="240" w:lineRule="auto"/>
              <w:ind w:left="0" w:firstLine="0"/>
              <w:jc w:val="both"/>
              <w:textAlignment w:val="auto"/>
              <w:rPr>
                <w:rFonts w:ascii="Times New Roman" w:hAnsi="Times New Roman" w:eastAsia="仿宋_GB2312" w:cs="仿宋_GB2312"/>
                <w:b w:val="0"/>
                <w:bCs w:val="0"/>
                <w:sz w:val="24"/>
                <w:szCs w:val="24"/>
                <w:highlight w:val="none"/>
              </w:rPr>
            </w:pPr>
          </w:p>
        </w:tc>
        <w:tc>
          <w:tcPr>
            <w:tcW w:w="314" w:type="pct"/>
            <w:vAlign w:val="center"/>
          </w:tcPr>
          <w:p w14:paraId="5731ACBC">
            <w:pPr>
              <w:keepNext w:val="0"/>
              <w:keepLines w:val="0"/>
              <w:pageBreakBefore w:val="0"/>
              <w:widowControl w:val="0"/>
              <w:numPr>
                <w:ilvl w:val="0"/>
                <w:numId w:val="3"/>
              </w:numPr>
              <w:kinsoku/>
              <w:wordWrap/>
              <w:overflowPunct/>
              <w:topLinePunct w:val="0"/>
              <w:autoSpaceDE/>
              <w:autoSpaceDN/>
              <w:bidi w:val="0"/>
              <w:spacing w:line="240" w:lineRule="auto"/>
              <w:ind w:left="0" w:leftChars="0" w:firstLine="0" w:firstLineChars="0"/>
              <w:jc w:val="center"/>
              <w:textAlignment w:val="auto"/>
              <w:rPr>
                <w:rFonts w:ascii="Times New Roman" w:hAnsi="Times New Roman" w:eastAsia="仿宋_GB2312" w:cs="仿宋_GB2312"/>
                <w:b w:val="0"/>
                <w:bCs w:val="0"/>
                <w:kern w:val="2"/>
                <w:sz w:val="24"/>
                <w:szCs w:val="24"/>
                <w:highlight w:val="none"/>
                <w:lang w:val="en-US" w:eastAsia="zh-CN" w:bidi="ar-SA"/>
              </w:rPr>
            </w:pPr>
          </w:p>
        </w:tc>
        <w:tc>
          <w:tcPr>
            <w:tcW w:w="1557" w:type="pct"/>
            <w:vAlign w:val="center"/>
          </w:tcPr>
          <w:p w14:paraId="7AAD40C6">
            <w:pPr>
              <w:keepNext w:val="0"/>
              <w:keepLines w:val="0"/>
              <w:pageBreakBefore w:val="0"/>
              <w:widowControl w:val="0"/>
              <w:kinsoku/>
              <w:wordWrap/>
              <w:overflowPunct/>
              <w:topLinePunct w:val="0"/>
              <w:autoSpaceDE/>
              <w:autoSpaceDN/>
              <w:bidi w:val="0"/>
              <w:adjustRightInd w:val="0"/>
              <w:snapToGrid w:val="0"/>
              <w:spacing w:line="240" w:lineRule="auto"/>
              <w:ind w:left="0" w:firstLine="0"/>
              <w:jc w:val="both"/>
              <w:textAlignment w:val="auto"/>
              <w:rPr>
                <w:rFonts w:hint="eastAsia" w:ascii="Times New Roman" w:hAnsi="Times New Roman" w:eastAsia="仿宋_GB2312" w:cs="仿宋_GB2312"/>
                <w:b w:val="0"/>
                <w:bCs w:val="0"/>
                <w:snapToGrid w:val="0"/>
                <w:kern w:val="0"/>
                <w:sz w:val="24"/>
                <w:szCs w:val="24"/>
                <w:highlight w:val="none"/>
                <w:lang w:val="en-US" w:eastAsia="zh-CN" w:bidi="ar-SA"/>
              </w:rPr>
            </w:pPr>
            <w:r>
              <w:rPr>
                <w:rFonts w:hint="eastAsia" w:ascii="Times New Roman" w:hAnsi="Times New Roman" w:eastAsia="仿宋_GB2312" w:cs="仿宋_GB2312"/>
                <w:b w:val="0"/>
                <w:bCs w:val="0"/>
                <w:snapToGrid w:val="0"/>
                <w:kern w:val="0"/>
                <w:sz w:val="24"/>
                <w:szCs w:val="24"/>
                <w:highlight w:val="none"/>
                <w:lang w:val="en-US" w:eastAsia="zh-CN"/>
              </w:rPr>
              <w:t>市容环境暗访得分（分）</w:t>
            </w:r>
          </w:p>
        </w:tc>
        <w:tc>
          <w:tcPr>
            <w:tcW w:w="1357" w:type="pct"/>
            <w:vAlign w:val="center"/>
          </w:tcPr>
          <w:p w14:paraId="1D48C0B7">
            <w:pPr>
              <w:keepNext w:val="0"/>
              <w:keepLines w:val="0"/>
              <w:pageBreakBefore w:val="0"/>
              <w:widowControl w:val="0"/>
              <w:kinsoku/>
              <w:wordWrap/>
              <w:overflowPunct/>
              <w:topLinePunct w:val="0"/>
              <w:autoSpaceDE/>
              <w:autoSpaceDN/>
              <w:bidi w:val="0"/>
              <w:adjustRightInd w:val="0"/>
              <w:snapToGrid w:val="0"/>
              <w:spacing w:line="240" w:lineRule="auto"/>
              <w:ind w:left="0" w:firstLine="0"/>
              <w:jc w:val="center"/>
              <w:textAlignment w:val="auto"/>
              <w:rPr>
                <w:rFonts w:hint="default" w:ascii="Times New Roman" w:hAnsi="Times New Roman" w:eastAsia="仿宋_GB2312" w:cs="仿宋_GB2312"/>
                <w:b w:val="0"/>
                <w:bCs w:val="0"/>
                <w:snapToGrid w:val="0"/>
                <w:kern w:val="0"/>
                <w:sz w:val="24"/>
                <w:szCs w:val="24"/>
                <w:highlight w:val="none"/>
                <w:lang w:val="en-US" w:eastAsia="zh-CN" w:bidi="ar-SA"/>
              </w:rPr>
            </w:pPr>
            <w:r>
              <w:rPr>
                <w:rFonts w:hint="eastAsia" w:ascii="Times New Roman" w:hAnsi="Times New Roman" w:eastAsia="仿宋_GB2312" w:cs="仿宋_GB2312"/>
                <w:b w:val="0"/>
                <w:bCs w:val="0"/>
                <w:sz w:val="24"/>
                <w:szCs w:val="24"/>
                <w:highlight w:val="none"/>
              </w:rPr>
              <w:t>高于全省平均水平</w:t>
            </w:r>
          </w:p>
        </w:tc>
        <w:tc>
          <w:tcPr>
            <w:tcW w:w="468" w:type="pct"/>
            <w:vAlign w:val="center"/>
          </w:tcPr>
          <w:p w14:paraId="44664E9F">
            <w:pPr>
              <w:keepNext w:val="0"/>
              <w:keepLines w:val="0"/>
              <w:pageBreakBefore w:val="0"/>
              <w:widowControl w:val="0"/>
              <w:kinsoku/>
              <w:wordWrap/>
              <w:overflowPunct/>
              <w:topLinePunct w:val="0"/>
              <w:autoSpaceDE/>
              <w:autoSpaceDN/>
              <w:bidi w:val="0"/>
              <w:adjustRightInd w:val="0"/>
              <w:snapToGrid w:val="0"/>
              <w:spacing w:line="240" w:lineRule="auto"/>
              <w:ind w:left="0" w:firstLine="0"/>
              <w:jc w:val="center"/>
              <w:textAlignment w:val="auto"/>
              <w:rPr>
                <w:rFonts w:hint="eastAsia" w:ascii="Times New Roman" w:hAnsi="Times New Roman" w:eastAsia="仿宋_GB2312" w:cs="仿宋_GB2312"/>
                <w:b w:val="0"/>
                <w:bCs w:val="0"/>
                <w:snapToGrid w:val="0"/>
                <w:kern w:val="0"/>
                <w:sz w:val="24"/>
                <w:szCs w:val="24"/>
                <w:highlight w:val="none"/>
                <w:lang w:val="en-US" w:eastAsia="zh-CN" w:bidi="ar-SA"/>
              </w:rPr>
            </w:pPr>
            <w:r>
              <w:rPr>
                <w:rFonts w:hint="eastAsia" w:ascii="Times New Roman" w:hAnsi="Times New Roman" w:eastAsia="仿宋_GB2312" w:cs="仿宋_GB2312"/>
                <w:b w:val="0"/>
                <w:bCs w:val="0"/>
                <w:snapToGrid w:val="0"/>
                <w:kern w:val="0"/>
                <w:sz w:val="24"/>
                <w:szCs w:val="24"/>
                <w:highlight w:val="none"/>
              </w:rPr>
              <w:t>城区</w:t>
            </w:r>
          </w:p>
        </w:tc>
        <w:tc>
          <w:tcPr>
            <w:tcW w:w="1040" w:type="pct"/>
            <w:vAlign w:val="center"/>
          </w:tcPr>
          <w:p w14:paraId="4C701811">
            <w:pPr>
              <w:keepNext w:val="0"/>
              <w:keepLines w:val="0"/>
              <w:pageBreakBefore w:val="0"/>
              <w:widowControl w:val="0"/>
              <w:kinsoku/>
              <w:wordWrap/>
              <w:overflowPunct/>
              <w:topLinePunct w:val="0"/>
              <w:autoSpaceDE/>
              <w:autoSpaceDN/>
              <w:bidi w:val="0"/>
              <w:adjustRightInd w:val="0"/>
              <w:snapToGrid w:val="0"/>
              <w:spacing w:line="240" w:lineRule="auto"/>
              <w:ind w:left="0" w:firstLine="0"/>
              <w:jc w:val="center"/>
              <w:textAlignment w:val="auto"/>
              <w:rPr>
                <w:rFonts w:hint="eastAsia" w:ascii="Times New Roman" w:hAnsi="Times New Roman" w:eastAsia="仿宋_GB2312" w:cs="仿宋_GB2312"/>
                <w:b w:val="0"/>
                <w:bCs w:val="0"/>
                <w:snapToGrid w:val="0"/>
                <w:kern w:val="0"/>
                <w:sz w:val="24"/>
                <w:szCs w:val="24"/>
                <w:highlight w:val="none"/>
                <w:lang w:val="en-US" w:eastAsia="zh-CN" w:bidi="ar-SA"/>
              </w:rPr>
            </w:pPr>
            <w:r>
              <w:rPr>
                <w:rFonts w:hint="eastAsia" w:ascii="Times New Roman" w:hAnsi="Times New Roman" w:eastAsia="仿宋_GB2312" w:cs="仿宋_GB2312"/>
                <w:b w:val="0"/>
                <w:bCs w:val="0"/>
                <w:snapToGrid w:val="0"/>
                <w:kern w:val="0"/>
                <w:sz w:val="24"/>
                <w:szCs w:val="24"/>
                <w:highlight w:val="none"/>
              </w:rPr>
              <w:t>市城管委</w:t>
            </w:r>
          </w:p>
        </w:tc>
      </w:tr>
      <w:tr w14:paraId="1E55BE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exact"/>
          <w:jc w:val="center"/>
        </w:trPr>
        <w:tc>
          <w:tcPr>
            <w:tcW w:w="261" w:type="pct"/>
            <w:vMerge w:val="continue"/>
          </w:tcPr>
          <w:p w14:paraId="7BC8747E">
            <w:pPr>
              <w:keepNext w:val="0"/>
              <w:keepLines w:val="0"/>
              <w:pageBreakBefore w:val="0"/>
              <w:widowControl w:val="0"/>
              <w:kinsoku/>
              <w:wordWrap/>
              <w:overflowPunct/>
              <w:topLinePunct w:val="0"/>
              <w:autoSpaceDE/>
              <w:autoSpaceDN/>
              <w:bidi w:val="0"/>
              <w:spacing w:line="240" w:lineRule="auto"/>
              <w:ind w:left="0" w:firstLine="0"/>
              <w:jc w:val="both"/>
              <w:textAlignment w:val="auto"/>
              <w:rPr>
                <w:rFonts w:ascii="Times New Roman" w:hAnsi="Times New Roman" w:eastAsia="仿宋_GB2312" w:cs="仿宋_GB2312"/>
                <w:b w:val="0"/>
                <w:bCs w:val="0"/>
                <w:sz w:val="24"/>
                <w:szCs w:val="24"/>
                <w:highlight w:val="none"/>
              </w:rPr>
            </w:pPr>
          </w:p>
        </w:tc>
        <w:tc>
          <w:tcPr>
            <w:tcW w:w="314" w:type="pct"/>
            <w:vAlign w:val="center"/>
          </w:tcPr>
          <w:p w14:paraId="544FECFD">
            <w:pPr>
              <w:keepNext w:val="0"/>
              <w:keepLines w:val="0"/>
              <w:pageBreakBefore w:val="0"/>
              <w:widowControl w:val="0"/>
              <w:numPr>
                <w:ilvl w:val="0"/>
                <w:numId w:val="3"/>
              </w:numPr>
              <w:kinsoku/>
              <w:wordWrap/>
              <w:overflowPunct/>
              <w:topLinePunct w:val="0"/>
              <w:autoSpaceDE/>
              <w:autoSpaceDN/>
              <w:bidi w:val="0"/>
              <w:spacing w:line="240" w:lineRule="auto"/>
              <w:ind w:left="0" w:leftChars="0" w:firstLine="0" w:firstLineChars="0"/>
              <w:jc w:val="center"/>
              <w:textAlignment w:val="auto"/>
              <w:rPr>
                <w:rFonts w:ascii="Times New Roman" w:hAnsi="Times New Roman" w:eastAsia="仿宋_GB2312" w:cs="仿宋_GB2312"/>
                <w:b w:val="0"/>
                <w:bCs w:val="0"/>
                <w:kern w:val="2"/>
                <w:sz w:val="24"/>
                <w:szCs w:val="24"/>
                <w:highlight w:val="none"/>
                <w:lang w:val="en-US" w:eastAsia="zh-CN" w:bidi="ar-SA"/>
              </w:rPr>
            </w:pPr>
          </w:p>
        </w:tc>
        <w:tc>
          <w:tcPr>
            <w:tcW w:w="1557" w:type="pct"/>
            <w:vAlign w:val="center"/>
          </w:tcPr>
          <w:p w14:paraId="1E9EC307">
            <w:pPr>
              <w:keepNext w:val="0"/>
              <w:keepLines w:val="0"/>
              <w:pageBreakBefore w:val="0"/>
              <w:widowControl w:val="0"/>
              <w:kinsoku/>
              <w:wordWrap/>
              <w:overflowPunct/>
              <w:topLinePunct w:val="0"/>
              <w:autoSpaceDE/>
              <w:autoSpaceDN/>
              <w:bidi w:val="0"/>
              <w:adjustRightInd w:val="0"/>
              <w:snapToGrid w:val="0"/>
              <w:spacing w:line="240" w:lineRule="auto"/>
              <w:ind w:left="0" w:firstLine="0"/>
              <w:jc w:val="both"/>
              <w:textAlignment w:val="auto"/>
              <w:rPr>
                <w:rFonts w:hint="eastAsia" w:ascii="Times New Roman" w:hAnsi="Times New Roman" w:eastAsia="仿宋_GB2312" w:cs="仿宋_GB2312"/>
                <w:b w:val="0"/>
                <w:bCs w:val="0"/>
                <w:snapToGrid w:val="0"/>
                <w:kern w:val="0"/>
                <w:sz w:val="24"/>
                <w:szCs w:val="24"/>
                <w:highlight w:val="none"/>
                <w:lang w:val="en-US" w:eastAsia="zh-CN" w:bidi="ar-SA"/>
              </w:rPr>
            </w:pPr>
            <w:r>
              <w:rPr>
                <w:rFonts w:hint="eastAsia" w:ascii="Times New Roman" w:hAnsi="Times New Roman" w:eastAsia="仿宋_GB2312" w:cs="仿宋_GB2312"/>
                <w:b w:val="0"/>
                <w:bCs w:val="0"/>
                <w:snapToGrid w:val="0"/>
                <w:kern w:val="0"/>
                <w:sz w:val="24"/>
                <w:szCs w:val="24"/>
                <w:highlight w:val="none"/>
              </w:rPr>
              <w:t>完整社区覆盖率（%）</w:t>
            </w:r>
          </w:p>
        </w:tc>
        <w:tc>
          <w:tcPr>
            <w:tcW w:w="1357" w:type="pct"/>
            <w:vAlign w:val="center"/>
          </w:tcPr>
          <w:p w14:paraId="4D351EA8">
            <w:pPr>
              <w:keepNext w:val="0"/>
              <w:keepLines w:val="0"/>
              <w:pageBreakBefore w:val="0"/>
              <w:widowControl w:val="0"/>
              <w:kinsoku/>
              <w:wordWrap/>
              <w:overflowPunct/>
              <w:topLinePunct w:val="0"/>
              <w:autoSpaceDE/>
              <w:autoSpaceDN/>
              <w:bidi w:val="0"/>
              <w:adjustRightInd w:val="0"/>
              <w:snapToGrid w:val="0"/>
              <w:spacing w:line="240" w:lineRule="auto"/>
              <w:ind w:left="0" w:firstLine="0"/>
              <w:jc w:val="center"/>
              <w:textAlignment w:val="auto"/>
              <w:rPr>
                <w:rFonts w:hint="default" w:ascii="Times New Roman" w:hAnsi="Times New Roman" w:eastAsia="仿宋_GB2312" w:cs="仿宋_GB2312"/>
                <w:b w:val="0"/>
                <w:bCs w:val="0"/>
                <w:snapToGrid w:val="0"/>
                <w:kern w:val="0"/>
                <w:sz w:val="24"/>
                <w:szCs w:val="24"/>
                <w:highlight w:val="none"/>
                <w:lang w:val="en-US" w:eastAsia="zh-CN" w:bidi="ar-SA"/>
              </w:rPr>
            </w:pPr>
            <w:r>
              <w:rPr>
                <w:rFonts w:hint="eastAsia" w:ascii="Times New Roman" w:hAnsi="Times New Roman" w:eastAsia="仿宋_GB2312" w:cs="仿宋_GB2312"/>
                <w:b w:val="0"/>
                <w:bCs w:val="0"/>
                <w:snapToGrid w:val="0"/>
                <w:kern w:val="0"/>
                <w:sz w:val="24"/>
                <w:szCs w:val="24"/>
                <w:highlight w:val="none"/>
              </w:rPr>
              <w:t>≥</w:t>
            </w:r>
            <w:r>
              <w:rPr>
                <w:rFonts w:hint="eastAsia" w:ascii="Times New Roman" w:hAnsi="Times New Roman" w:eastAsia="仿宋_GB2312" w:cs="仿宋_GB2312"/>
                <w:b w:val="0"/>
                <w:bCs w:val="0"/>
                <w:snapToGrid w:val="0"/>
                <w:kern w:val="0"/>
                <w:sz w:val="24"/>
                <w:szCs w:val="24"/>
                <w:highlight w:val="none"/>
                <w:lang w:val="en-US" w:eastAsia="zh-CN"/>
              </w:rPr>
              <w:t>40</w:t>
            </w:r>
          </w:p>
        </w:tc>
        <w:tc>
          <w:tcPr>
            <w:tcW w:w="468" w:type="pct"/>
            <w:vAlign w:val="center"/>
          </w:tcPr>
          <w:p w14:paraId="38873ABD">
            <w:pPr>
              <w:keepNext w:val="0"/>
              <w:keepLines w:val="0"/>
              <w:pageBreakBefore w:val="0"/>
              <w:widowControl w:val="0"/>
              <w:kinsoku/>
              <w:wordWrap/>
              <w:overflowPunct/>
              <w:topLinePunct w:val="0"/>
              <w:autoSpaceDE/>
              <w:autoSpaceDN/>
              <w:bidi w:val="0"/>
              <w:adjustRightInd w:val="0"/>
              <w:snapToGrid w:val="0"/>
              <w:spacing w:line="240" w:lineRule="auto"/>
              <w:ind w:left="0" w:firstLine="0"/>
              <w:jc w:val="center"/>
              <w:textAlignment w:val="auto"/>
              <w:rPr>
                <w:rFonts w:hint="eastAsia" w:ascii="Times New Roman" w:hAnsi="Times New Roman" w:eastAsia="仿宋_GB2312" w:cs="仿宋_GB2312"/>
                <w:b w:val="0"/>
                <w:bCs w:val="0"/>
                <w:snapToGrid w:val="0"/>
                <w:kern w:val="0"/>
                <w:sz w:val="24"/>
                <w:szCs w:val="24"/>
                <w:highlight w:val="none"/>
                <w:lang w:val="en-US" w:eastAsia="zh-CN" w:bidi="ar-SA"/>
              </w:rPr>
            </w:pPr>
            <w:r>
              <w:rPr>
                <w:rFonts w:hint="eastAsia" w:ascii="Times New Roman" w:hAnsi="Times New Roman" w:eastAsia="仿宋_GB2312" w:cs="仿宋_GB2312"/>
                <w:b w:val="0"/>
                <w:bCs w:val="0"/>
                <w:snapToGrid w:val="0"/>
                <w:kern w:val="0"/>
                <w:sz w:val="24"/>
                <w:szCs w:val="24"/>
                <w:highlight w:val="none"/>
              </w:rPr>
              <w:t>城区</w:t>
            </w:r>
          </w:p>
        </w:tc>
        <w:tc>
          <w:tcPr>
            <w:tcW w:w="1040" w:type="pct"/>
            <w:vAlign w:val="center"/>
          </w:tcPr>
          <w:p w14:paraId="3AE99028">
            <w:pPr>
              <w:keepNext w:val="0"/>
              <w:keepLines w:val="0"/>
              <w:pageBreakBefore w:val="0"/>
              <w:widowControl w:val="0"/>
              <w:kinsoku/>
              <w:wordWrap/>
              <w:overflowPunct/>
              <w:topLinePunct w:val="0"/>
              <w:autoSpaceDE/>
              <w:autoSpaceDN/>
              <w:bidi w:val="0"/>
              <w:adjustRightInd w:val="0"/>
              <w:snapToGrid w:val="0"/>
              <w:spacing w:line="240" w:lineRule="auto"/>
              <w:ind w:left="0" w:firstLine="0"/>
              <w:jc w:val="center"/>
              <w:textAlignment w:val="auto"/>
              <w:rPr>
                <w:rFonts w:hint="eastAsia" w:ascii="Times New Roman" w:hAnsi="Times New Roman" w:eastAsia="仿宋_GB2312" w:cs="仿宋_GB2312"/>
                <w:b w:val="0"/>
                <w:bCs w:val="0"/>
                <w:snapToGrid w:val="0"/>
                <w:kern w:val="0"/>
                <w:sz w:val="24"/>
                <w:szCs w:val="24"/>
                <w:highlight w:val="none"/>
                <w:lang w:val="en-US" w:eastAsia="zh-CN" w:bidi="ar-SA"/>
              </w:rPr>
            </w:pPr>
            <w:r>
              <w:rPr>
                <w:rFonts w:hint="eastAsia" w:ascii="Times New Roman" w:hAnsi="Times New Roman" w:eastAsia="仿宋_GB2312" w:cs="仿宋_GB2312"/>
                <w:b w:val="0"/>
                <w:bCs w:val="0"/>
                <w:snapToGrid w:val="0"/>
                <w:kern w:val="0"/>
                <w:sz w:val="24"/>
                <w:szCs w:val="24"/>
                <w:highlight w:val="none"/>
                <w:lang w:eastAsia="zh-CN"/>
              </w:rPr>
              <w:t>市住房和城市更新局</w:t>
            </w:r>
          </w:p>
        </w:tc>
      </w:tr>
      <w:tr w14:paraId="564D43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exact"/>
          <w:jc w:val="center"/>
        </w:trPr>
        <w:tc>
          <w:tcPr>
            <w:tcW w:w="261" w:type="pct"/>
            <w:vMerge w:val="continue"/>
          </w:tcPr>
          <w:p w14:paraId="5999FD50">
            <w:pPr>
              <w:keepNext w:val="0"/>
              <w:keepLines w:val="0"/>
              <w:pageBreakBefore w:val="0"/>
              <w:widowControl w:val="0"/>
              <w:kinsoku/>
              <w:wordWrap/>
              <w:overflowPunct/>
              <w:topLinePunct w:val="0"/>
              <w:autoSpaceDE/>
              <w:autoSpaceDN/>
              <w:bidi w:val="0"/>
              <w:spacing w:line="240" w:lineRule="auto"/>
              <w:ind w:left="0" w:firstLine="0"/>
              <w:jc w:val="both"/>
              <w:textAlignment w:val="auto"/>
              <w:rPr>
                <w:rFonts w:ascii="Times New Roman" w:hAnsi="Times New Roman" w:eastAsia="仿宋_GB2312" w:cs="仿宋_GB2312"/>
                <w:b w:val="0"/>
                <w:bCs w:val="0"/>
                <w:sz w:val="24"/>
                <w:szCs w:val="24"/>
                <w:highlight w:val="none"/>
              </w:rPr>
            </w:pPr>
          </w:p>
        </w:tc>
        <w:tc>
          <w:tcPr>
            <w:tcW w:w="314" w:type="pct"/>
            <w:vAlign w:val="center"/>
          </w:tcPr>
          <w:p w14:paraId="2229B168">
            <w:pPr>
              <w:keepNext w:val="0"/>
              <w:keepLines w:val="0"/>
              <w:pageBreakBefore w:val="0"/>
              <w:widowControl w:val="0"/>
              <w:numPr>
                <w:ilvl w:val="0"/>
                <w:numId w:val="3"/>
              </w:numPr>
              <w:kinsoku/>
              <w:wordWrap/>
              <w:overflowPunct/>
              <w:topLinePunct w:val="0"/>
              <w:autoSpaceDE/>
              <w:autoSpaceDN/>
              <w:bidi w:val="0"/>
              <w:spacing w:line="240" w:lineRule="auto"/>
              <w:ind w:left="0" w:leftChars="0" w:firstLine="0" w:firstLineChars="0"/>
              <w:jc w:val="center"/>
              <w:textAlignment w:val="auto"/>
              <w:rPr>
                <w:rFonts w:ascii="Times New Roman" w:hAnsi="Times New Roman" w:eastAsia="仿宋_GB2312" w:cs="仿宋_GB2312"/>
                <w:b w:val="0"/>
                <w:bCs w:val="0"/>
                <w:kern w:val="2"/>
                <w:sz w:val="24"/>
                <w:szCs w:val="24"/>
                <w:highlight w:val="none"/>
                <w:lang w:val="en-US" w:eastAsia="zh-CN" w:bidi="ar-SA"/>
              </w:rPr>
            </w:pPr>
          </w:p>
        </w:tc>
        <w:tc>
          <w:tcPr>
            <w:tcW w:w="1557" w:type="pct"/>
            <w:vAlign w:val="center"/>
          </w:tcPr>
          <w:p w14:paraId="7CBE83F2">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both"/>
              <w:textAlignment w:val="auto"/>
              <w:rPr>
                <w:rFonts w:hint="eastAsia" w:ascii="Times New Roman" w:hAnsi="Times New Roman" w:eastAsia="仿宋_GB2312" w:cs="仿宋_GB2312"/>
                <w:b w:val="0"/>
                <w:bCs w:val="0"/>
                <w:snapToGrid w:val="0"/>
                <w:kern w:val="0"/>
                <w:sz w:val="24"/>
                <w:szCs w:val="24"/>
                <w:highlight w:val="none"/>
                <w:lang w:val="en-US" w:eastAsia="zh-CN" w:bidi="ar-SA"/>
              </w:rPr>
            </w:pPr>
            <w:r>
              <w:rPr>
                <w:rFonts w:hint="eastAsia" w:ascii="Times New Roman" w:hAnsi="Times New Roman" w:eastAsia="仿宋_GB2312" w:cs="仿宋_GB2312"/>
                <w:b w:val="0"/>
                <w:bCs w:val="0"/>
                <w:snapToGrid w:val="0"/>
                <w:kern w:val="0"/>
                <w:sz w:val="24"/>
                <w:szCs w:val="24"/>
                <w:highlight w:val="none"/>
                <w:lang w:val="en-US" w:eastAsia="zh-CN" w:bidi="ar-SA"/>
              </w:rPr>
              <w:t>城区15分钟社区生活圈覆盖率（%）</w:t>
            </w:r>
          </w:p>
        </w:tc>
        <w:tc>
          <w:tcPr>
            <w:tcW w:w="1357" w:type="pct"/>
            <w:vAlign w:val="center"/>
          </w:tcPr>
          <w:p w14:paraId="59FC0B17">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Times New Roman" w:hAnsi="Times New Roman" w:eastAsia="仿宋_GB2312" w:cs="仿宋_GB2312"/>
                <w:b w:val="0"/>
                <w:bCs w:val="0"/>
                <w:snapToGrid w:val="0"/>
                <w:kern w:val="0"/>
                <w:sz w:val="24"/>
                <w:szCs w:val="24"/>
                <w:highlight w:val="none"/>
                <w:lang w:val="en-US" w:eastAsia="zh-CN" w:bidi="ar-SA"/>
              </w:rPr>
            </w:pPr>
            <w:r>
              <w:rPr>
                <w:rFonts w:hint="eastAsia" w:ascii="Times New Roman" w:hAnsi="Times New Roman" w:eastAsia="仿宋_GB2312" w:cs="仿宋_GB2312"/>
                <w:b w:val="0"/>
                <w:bCs w:val="0"/>
                <w:snapToGrid w:val="0"/>
                <w:kern w:val="0"/>
                <w:sz w:val="24"/>
                <w:szCs w:val="24"/>
                <w:highlight w:val="none"/>
              </w:rPr>
              <w:t>高于全省平均水平</w:t>
            </w:r>
          </w:p>
        </w:tc>
        <w:tc>
          <w:tcPr>
            <w:tcW w:w="468" w:type="pct"/>
            <w:vAlign w:val="center"/>
          </w:tcPr>
          <w:p w14:paraId="79CFE6EF">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Times New Roman" w:hAnsi="Times New Roman" w:eastAsia="仿宋_GB2312" w:cs="仿宋_GB2312"/>
                <w:b w:val="0"/>
                <w:bCs w:val="0"/>
                <w:snapToGrid w:val="0"/>
                <w:kern w:val="0"/>
                <w:sz w:val="24"/>
                <w:szCs w:val="24"/>
                <w:highlight w:val="none"/>
                <w:lang w:val="en-US" w:eastAsia="zh-CN" w:bidi="ar-SA"/>
              </w:rPr>
            </w:pPr>
            <w:r>
              <w:rPr>
                <w:rFonts w:hint="eastAsia" w:ascii="Times New Roman" w:hAnsi="Times New Roman" w:eastAsia="仿宋_GB2312" w:cs="仿宋_GB2312"/>
                <w:b w:val="0"/>
                <w:bCs w:val="0"/>
                <w:snapToGrid w:val="0"/>
                <w:kern w:val="0"/>
                <w:sz w:val="24"/>
                <w:szCs w:val="24"/>
                <w:highlight w:val="none"/>
              </w:rPr>
              <w:t>城区</w:t>
            </w:r>
          </w:p>
        </w:tc>
        <w:tc>
          <w:tcPr>
            <w:tcW w:w="1040" w:type="pct"/>
            <w:vAlign w:val="center"/>
          </w:tcPr>
          <w:p w14:paraId="60C374E3">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Times New Roman" w:hAnsi="Times New Roman" w:eastAsia="仿宋_GB2312" w:cs="仿宋_GB2312"/>
                <w:b w:val="0"/>
                <w:bCs w:val="0"/>
                <w:snapToGrid w:val="0"/>
                <w:kern w:val="0"/>
                <w:sz w:val="24"/>
                <w:szCs w:val="24"/>
                <w:highlight w:val="none"/>
                <w:lang w:val="en-US" w:eastAsia="zh-CN" w:bidi="ar-SA"/>
              </w:rPr>
            </w:pPr>
            <w:r>
              <w:rPr>
                <w:rFonts w:hint="eastAsia" w:ascii="Times New Roman" w:hAnsi="Times New Roman" w:eastAsia="仿宋_GB2312" w:cs="仿宋_GB2312"/>
                <w:b w:val="0"/>
                <w:bCs w:val="0"/>
                <w:snapToGrid w:val="0"/>
                <w:kern w:val="0"/>
                <w:sz w:val="24"/>
                <w:szCs w:val="24"/>
                <w:highlight w:val="none"/>
                <w:lang w:eastAsia="zh-CN"/>
              </w:rPr>
              <w:t>市商务局</w:t>
            </w:r>
          </w:p>
        </w:tc>
      </w:tr>
      <w:tr w14:paraId="5934A0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exact"/>
          <w:jc w:val="center"/>
        </w:trPr>
        <w:tc>
          <w:tcPr>
            <w:tcW w:w="261" w:type="pct"/>
            <w:vMerge w:val="continue"/>
          </w:tcPr>
          <w:p w14:paraId="175461EA">
            <w:pPr>
              <w:keepNext w:val="0"/>
              <w:keepLines w:val="0"/>
              <w:pageBreakBefore w:val="0"/>
              <w:widowControl w:val="0"/>
              <w:kinsoku/>
              <w:wordWrap/>
              <w:overflowPunct/>
              <w:topLinePunct w:val="0"/>
              <w:autoSpaceDE/>
              <w:autoSpaceDN/>
              <w:bidi w:val="0"/>
              <w:spacing w:line="240" w:lineRule="auto"/>
              <w:ind w:left="0" w:firstLine="0"/>
              <w:jc w:val="both"/>
              <w:textAlignment w:val="auto"/>
              <w:rPr>
                <w:rFonts w:ascii="Times New Roman" w:hAnsi="Times New Roman" w:eastAsia="仿宋_GB2312" w:cs="仿宋_GB2312"/>
                <w:b w:val="0"/>
                <w:bCs w:val="0"/>
                <w:sz w:val="24"/>
                <w:szCs w:val="24"/>
                <w:highlight w:val="none"/>
              </w:rPr>
            </w:pPr>
          </w:p>
        </w:tc>
        <w:tc>
          <w:tcPr>
            <w:tcW w:w="314" w:type="pct"/>
            <w:vAlign w:val="center"/>
          </w:tcPr>
          <w:p w14:paraId="22B47949">
            <w:pPr>
              <w:keepNext w:val="0"/>
              <w:keepLines w:val="0"/>
              <w:pageBreakBefore w:val="0"/>
              <w:widowControl w:val="0"/>
              <w:numPr>
                <w:ilvl w:val="0"/>
                <w:numId w:val="3"/>
              </w:numPr>
              <w:kinsoku/>
              <w:wordWrap/>
              <w:overflowPunct/>
              <w:topLinePunct w:val="0"/>
              <w:autoSpaceDE/>
              <w:autoSpaceDN/>
              <w:bidi w:val="0"/>
              <w:spacing w:line="240" w:lineRule="auto"/>
              <w:ind w:left="0" w:leftChars="0" w:firstLine="0" w:firstLineChars="0"/>
              <w:jc w:val="center"/>
              <w:textAlignment w:val="auto"/>
              <w:rPr>
                <w:rFonts w:ascii="Times New Roman" w:hAnsi="Times New Roman" w:eastAsia="仿宋_GB2312" w:cs="仿宋_GB2312"/>
                <w:b w:val="0"/>
                <w:bCs w:val="0"/>
                <w:kern w:val="2"/>
                <w:sz w:val="24"/>
                <w:szCs w:val="24"/>
                <w:highlight w:val="none"/>
                <w:lang w:val="en-US" w:eastAsia="zh-CN" w:bidi="ar-SA"/>
              </w:rPr>
            </w:pPr>
          </w:p>
        </w:tc>
        <w:tc>
          <w:tcPr>
            <w:tcW w:w="1557" w:type="pct"/>
            <w:vAlign w:val="center"/>
          </w:tcPr>
          <w:p w14:paraId="22A5B23D">
            <w:pPr>
              <w:keepNext w:val="0"/>
              <w:keepLines w:val="0"/>
              <w:pageBreakBefore w:val="0"/>
              <w:widowControl w:val="0"/>
              <w:kinsoku/>
              <w:wordWrap/>
              <w:overflowPunct/>
              <w:topLinePunct w:val="0"/>
              <w:autoSpaceDE/>
              <w:autoSpaceDN/>
              <w:bidi w:val="0"/>
              <w:spacing w:line="240" w:lineRule="auto"/>
              <w:ind w:left="0" w:firstLine="0"/>
              <w:jc w:val="both"/>
              <w:textAlignment w:val="auto"/>
              <w:rPr>
                <w:rFonts w:hint="eastAsia" w:ascii="Times New Roman" w:hAnsi="Times New Roman" w:eastAsia="仿宋_GB2312" w:cs="仿宋_GB2312"/>
                <w:b w:val="0"/>
                <w:bCs w:val="0"/>
                <w:kern w:val="2"/>
                <w:sz w:val="24"/>
                <w:szCs w:val="24"/>
                <w:highlight w:val="none"/>
                <w:lang w:val="en-US" w:eastAsia="zh-CN" w:bidi="ar-SA"/>
              </w:rPr>
            </w:pPr>
            <w:r>
              <w:rPr>
                <w:rFonts w:hint="eastAsia" w:ascii="Times New Roman" w:hAnsi="Times New Roman" w:eastAsia="仿宋_GB2312" w:cs="仿宋_GB2312"/>
                <w:b w:val="0"/>
                <w:bCs w:val="0"/>
                <w:sz w:val="24"/>
                <w:szCs w:val="24"/>
                <w:highlight w:val="none"/>
              </w:rPr>
              <w:t>城市绿色旅游发展情况</w:t>
            </w:r>
          </w:p>
        </w:tc>
        <w:tc>
          <w:tcPr>
            <w:tcW w:w="1357" w:type="pct"/>
            <w:vAlign w:val="center"/>
          </w:tcPr>
          <w:p w14:paraId="3D3D17CF">
            <w:pPr>
              <w:keepNext w:val="0"/>
              <w:keepLines w:val="0"/>
              <w:pageBreakBefore w:val="0"/>
              <w:widowControl w:val="0"/>
              <w:kinsoku/>
              <w:wordWrap/>
              <w:overflowPunct/>
              <w:topLinePunct w:val="0"/>
              <w:autoSpaceDE/>
              <w:autoSpaceDN/>
              <w:bidi w:val="0"/>
              <w:spacing w:line="240" w:lineRule="auto"/>
              <w:ind w:left="0" w:firstLine="0"/>
              <w:jc w:val="center"/>
              <w:textAlignment w:val="auto"/>
              <w:rPr>
                <w:rFonts w:hint="eastAsia" w:ascii="Times New Roman" w:hAnsi="Times New Roman" w:eastAsia="仿宋_GB2312" w:cs="仿宋_GB2312"/>
                <w:b w:val="0"/>
                <w:bCs w:val="0"/>
                <w:kern w:val="2"/>
                <w:sz w:val="24"/>
                <w:szCs w:val="24"/>
                <w:highlight w:val="none"/>
                <w:lang w:val="en-US" w:eastAsia="zh-CN" w:bidi="ar-SA"/>
              </w:rPr>
            </w:pPr>
            <w:r>
              <w:rPr>
                <w:rFonts w:hint="eastAsia" w:ascii="Times New Roman" w:hAnsi="Times New Roman" w:eastAsia="仿宋_GB2312" w:cs="仿宋_GB2312"/>
                <w:b w:val="0"/>
                <w:bCs w:val="0"/>
                <w:sz w:val="24"/>
                <w:szCs w:val="24"/>
                <w:highlight w:val="none"/>
              </w:rPr>
              <w:t>取得明显成效</w:t>
            </w:r>
          </w:p>
        </w:tc>
        <w:tc>
          <w:tcPr>
            <w:tcW w:w="468" w:type="pct"/>
            <w:vAlign w:val="center"/>
          </w:tcPr>
          <w:p w14:paraId="00CDF448">
            <w:pPr>
              <w:keepNext w:val="0"/>
              <w:keepLines w:val="0"/>
              <w:pageBreakBefore w:val="0"/>
              <w:widowControl w:val="0"/>
              <w:kinsoku/>
              <w:wordWrap/>
              <w:overflowPunct/>
              <w:topLinePunct w:val="0"/>
              <w:autoSpaceDE/>
              <w:autoSpaceDN/>
              <w:bidi w:val="0"/>
              <w:spacing w:line="240" w:lineRule="auto"/>
              <w:ind w:left="0" w:firstLine="0"/>
              <w:jc w:val="center"/>
              <w:textAlignment w:val="auto"/>
              <w:rPr>
                <w:rFonts w:hint="eastAsia" w:ascii="Times New Roman" w:hAnsi="Times New Roman" w:eastAsia="仿宋_GB2312" w:cs="仿宋_GB2312"/>
                <w:b w:val="0"/>
                <w:bCs w:val="0"/>
                <w:kern w:val="2"/>
                <w:sz w:val="24"/>
                <w:szCs w:val="24"/>
                <w:highlight w:val="none"/>
                <w:lang w:val="en-US" w:eastAsia="zh-CN" w:bidi="ar-SA"/>
              </w:rPr>
            </w:pPr>
            <w:r>
              <w:rPr>
                <w:rFonts w:hint="eastAsia" w:ascii="Times New Roman" w:hAnsi="Times New Roman" w:eastAsia="仿宋_GB2312" w:cs="仿宋_GB2312"/>
                <w:b w:val="0"/>
                <w:bCs w:val="0"/>
                <w:snapToGrid w:val="0"/>
                <w:kern w:val="0"/>
                <w:sz w:val="24"/>
                <w:szCs w:val="24"/>
                <w:highlight w:val="none"/>
              </w:rPr>
              <w:t>市域</w:t>
            </w:r>
          </w:p>
        </w:tc>
        <w:tc>
          <w:tcPr>
            <w:tcW w:w="1040" w:type="pct"/>
            <w:vAlign w:val="center"/>
          </w:tcPr>
          <w:p w14:paraId="6892B0B8">
            <w:pPr>
              <w:keepNext w:val="0"/>
              <w:keepLines w:val="0"/>
              <w:pageBreakBefore w:val="0"/>
              <w:widowControl w:val="0"/>
              <w:kinsoku/>
              <w:wordWrap/>
              <w:overflowPunct/>
              <w:topLinePunct w:val="0"/>
              <w:autoSpaceDE/>
              <w:autoSpaceDN/>
              <w:bidi w:val="0"/>
              <w:adjustRightInd w:val="0"/>
              <w:snapToGrid w:val="0"/>
              <w:spacing w:line="240" w:lineRule="auto"/>
              <w:ind w:left="0" w:firstLine="0"/>
              <w:jc w:val="center"/>
              <w:textAlignment w:val="auto"/>
              <w:rPr>
                <w:rFonts w:hint="eastAsia" w:ascii="Times New Roman" w:hAnsi="Times New Roman" w:eastAsia="仿宋_GB2312" w:cs="仿宋_GB2312"/>
                <w:b w:val="0"/>
                <w:bCs w:val="0"/>
                <w:snapToGrid w:val="0"/>
                <w:kern w:val="0"/>
                <w:sz w:val="24"/>
                <w:szCs w:val="24"/>
                <w:highlight w:val="none"/>
                <w:lang w:val="en-US" w:eastAsia="zh-CN" w:bidi="ar-SA"/>
              </w:rPr>
            </w:pPr>
            <w:r>
              <w:rPr>
                <w:rFonts w:hint="eastAsia" w:ascii="Times New Roman" w:hAnsi="Times New Roman" w:eastAsia="仿宋_GB2312" w:cs="仿宋_GB2312"/>
                <w:b w:val="0"/>
                <w:bCs w:val="0"/>
                <w:snapToGrid w:val="0"/>
                <w:kern w:val="0"/>
                <w:sz w:val="24"/>
                <w:szCs w:val="24"/>
                <w:highlight w:val="none"/>
                <w:lang w:val="en-US" w:eastAsia="zh-CN" w:bidi="ar-SA"/>
              </w:rPr>
              <w:t>市文旅局</w:t>
            </w:r>
          </w:p>
        </w:tc>
      </w:tr>
      <w:tr w14:paraId="3BA29C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6" w:hRule="exact"/>
          <w:jc w:val="center"/>
        </w:trPr>
        <w:tc>
          <w:tcPr>
            <w:tcW w:w="261" w:type="pct"/>
            <w:vMerge w:val="restart"/>
            <w:vAlign w:val="center"/>
          </w:tcPr>
          <w:p w14:paraId="3B05B15B">
            <w:pPr>
              <w:keepNext w:val="0"/>
              <w:keepLines w:val="0"/>
              <w:pageBreakBefore w:val="0"/>
              <w:widowControl w:val="0"/>
              <w:kinsoku/>
              <w:wordWrap/>
              <w:overflowPunct/>
              <w:topLinePunct w:val="0"/>
              <w:autoSpaceDE/>
              <w:autoSpaceDN/>
              <w:bidi w:val="0"/>
              <w:spacing w:line="240" w:lineRule="auto"/>
              <w:ind w:left="0" w:firstLine="0"/>
              <w:jc w:val="center"/>
              <w:textAlignment w:val="auto"/>
              <w:rPr>
                <w:rFonts w:hint="default" w:ascii="Times New Roman" w:hAnsi="Times New Roman" w:eastAsia="仿宋_GB2312" w:cs="仿宋_GB2312"/>
                <w:b w:val="0"/>
                <w:bCs w:val="0"/>
                <w:sz w:val="24"/>
                <w:szCs w:val="24"/>
                <w:highlight w:val="none"/>
                <w:lang w:val="en-US" w:eastAsia="zh-CN"/>
              </w:rPr>
            </w:pPr>
            <w:r>
              <w:rPr>
                <w:rFonts w:hint="eastAsia" w:ascii="Times New Roman" w:hAnsi="Times New Roman" w:eastAsia="仿宋_GB2312" w:cs="仿宋_GB2312"/>
                <w:b w:val="0"/>
                <w:bCs w:val="0"/>
                <w:sz w:val="24"/>
                <w:szCs w:val="24"/>
                <w:highlight w:val="none"/>
                <w:lang w:val="en-US" w:eastAsia="zh-CN"/>
              </w:rPr>
              <w:t>安全健康</w:t>
            </w:r>
          </w:p>
        </w:tc>
        <w:tc>
          <w:tcPr>
            <w:tcW w:w="314" w:type="pct"/>
            <w:vAlign w:val="center"/>
          </w:tcPr>
          <w:p w14:paraId="6CB4A213">
            <w:pPr>
              <w:keepNext w:val="0"/>
              <w:keepLines w:val="0"/>
              <w:pageBreakBefore w:val="0"/>
              <w:widowControl w:val="0"/>
              <w:numPr>
                <w:ilvl w:val="0"/>
                <w:numId w:val="3"/>
              </w:numPr>
              <w:kinsoku/>
              <w:wordWrap/>
              <w:overflowPunct/>
              <w:topLinePunct w:val="0"/>
              <w:autoSpaceDE/>
              <w:autoSpaceDN/>
              <w:bidi w:val="0"/>
              <w:spacing w:line="240" w:lineRule="auto"/>
              <w:ind w:left="0" w:leftChars="0" w:firstLine="0" w:firstLineChars="0"/>
              <w:jc w:val="center"/>
              <w:textAlignment w:val="auto"/>
              <w:rPr>
                <w:rFonts w:ascii="Times New Roman" w:hAnsi="Times New Roman" w:eastAsia="仿宋_GB2312" w:cs="仿宋_GB2312"/>
                <w:b w:val="0"/>
                <w:bCs w:val="0"/>
                <w:kern w:val="2"/>
                <w:sz w:val="24"/>
                <w:szCs w:val="24"/>
                <w:highlight w:val="none"/>
                <w:lang w:val="en-US" w:eastAsia="zh-CN" w:bidi="ar-SA"/>
              </w:rPr>
            </w:pPr>
          </w:p>
        </w:tc>
        <w:tc>
          <w:tcPr>
            <w:tcW w:w="1557" w:type="pct"/>
            <w:vAlign w:val="center"/>
          </w:tcPr>
          <w:p w14:paraId="7062114A">
            <w:pPr>
              <w:keepNext w:val="0"/>
              <w:keepLines w:val="0"/>
              <w:pageBreakBefore w:val="0"/>
              <w:widowControl w:val="0"/>
              <w:kinsoku/>
              <w:wordWrap/>
              <w:overflowPunct/>
              <w:topLinePunct w:val="0"/>
              <w:autoSpaceDE/>
              <w:autoSpaceDN/>
              <w:bidi w:val="0"/>
              <w:adjustRightInd w:val="0"/>
              <w:snapToGrid w:val="0"/>
              <w:spacing w:line="240" w:lineRule="auto"/>
              <w:ind w:left="0" w:firstLine="0"/>
              <w:jc w:val="both"/>
              <w:textAlignment w:val="auto"/>
              <w:rPr>
                <w:rFonts w:hint="eastAsia" w:ascii="Times New Roman" w:hAnsi="Times New Roman" w:eastAsia="仿宋_GB2312" w:cs="仿宋_GB2312"/>
                <w:b w:val="0"/>
                <w:bCs w:val="0"/>
                <w:snapToGrid w:val="0"/>
                <w:kern w:val="0"/>
                <w:sz w:val="24"/>
                <w:szCs w:val="24"/>
                <w:highlight w:val="none"/>
                <w:lang w:val="en-US" w:eastAsia="zh-CN" w:bidi="ar-SA"/>
              </w:rPr>
            </w:pPr>
            <w:r>
              <w:rPr>
                <w:rFonts w:hint="eastAsia" w:ascii="Times New Roman" w:hAnsi="Times New Roman" w:eastAsia="仿宋_GB2312" w:cs="仿宋_GB2312"/>
                <w:b w:val="0"/>
                <w:bCs w:val="0"/>
                <w:snapToGrid w:val="0"/>
                <w:kern w:val="0"/>
                <w:sz w:val="24"/>
                <w:szCs w:val="24"/>
                <w:highlight w:val="none"/>
              </w:rPr>
              <w:t>县级及以上集中式饮用水水源水质达到或者优于Ⅲ类比例（%）</w:t>
            </w:r>
          </w:p>
        </w:tc>
        <w:tc>
          <w:tcPr>
            <w:tcW w:w="1357" w:type="pct"/>
            <w:vAlign w:val="center"/>
          </w:tcPr>
          <w:p w14:paraId="503924FA">
            <w:pPr>
              <w:keepNext w:val="0"/>
              <w:keepLines w:val="0"/>
              <w:pageBreakBefore w:val="0"/>
              <w:widowControl w:val="0"/>
              <w:kinsoku/>
              <w:wordWrap/>
              <w:overflowPunct/>
              <w:topLinePunct w:val="0"/>
              <w:autoSpaceDE/>
              <w:autoSpaceDN/>
              <w:bidi w:val="0"/>
              <w:adjustRightInd w:val="0"/>
              <w:snapToGrid w:val="0"/>
              <w:spacing w:line="240" w:lineRule="auto"/>
              <w:ind w:left="0" w:firstLine="0"/>
              <w:jc w:val="center"/>
              <w:textAlignment w:val="auto"/>
              <w:rPr>
                <w:rFonts w:hint="eastAsia" w:ascii="Times New Roman" w:hAnsi="Times New Roman" w:eastAsia="仿宋_GB2312" w:cs="仿宋_GB2312"/>
                <w:b w:val="0"/>
                <w:bCs w:val="0"/>
                <w:snapToGrid w:val="0"/>
                <w:kern w:val="0"/>
                <w:sz w:val="24"/>
                <w:szCs w:val="24"/>
                <w:highlight w:val="none"/>
                <w:lang w:val="en-US" w:eastAsia="zh-CN" w:bidi="ar-SA"/>
              </w:rPr>
            </w:pPr>
            <w:r>
              <w:rPr>
                <w:rFonts w:hint="eastAsia" w:ascii="Times New Roman" w:hAnsi="Times New Roman" w:eastAsia="仿宋_GB2312" w:cs="仿宋_GB2312"/>
                <w:b w:val="0"/>
                <w:bCs w:val="0"/>
                <w:snapToGrid w:val="0"/>
                <w:kern w:val="0"/>
                <w:sz w:val="24"/>
                <w:szCs w:val="24"/>
                <w:highlight w:val="none"/>
              </w:rPr>
              <w:t>100</w:t>
            </w:r>
          </w:p>
        </w:tc>
        <w:tc>
          <w:tcPr>
            <w:tcW w:w="468" w:type="pct"/>
            <w:vAlign w:val="center"/>
          </w:tcPr>
          <w:p w14:paraId="73E661A5">
            <w:pPr>
              <w:keepNext w:val="0"/>
              <w:keepLines w:val="0"/>
              <w:pageBreakBefore w:val="0"/>
              <w:widowControl w:val="0"/>
              <w:kinsoku/>
              <w:wordWrap/>
              <w:overflowPunct/>
              <w:topLinePunct w:val="0"/>
              <w:autoSpaceDE/>
              <w:autoSpaceDN/>
              <w:bidi w:val="0"/>
              <w:adjustRightInd w:val="0"/>
              <w:snapToGrid w:val="0"/>
              <w:spacing w:line="240" w:lineRule="auto"/>
              <w:ind w:left="0" w:firstLine="0"/>
              <w:jc w:val="center"/>
              <w:textAlignment w:val="auto"/>
              <w:rPr>
                <w:rFonts w:hint="eastAsia" w:ascii="Times New Roman" w:hAnsi="Times New Roman" w:eastAsia="仿宋_GB2312" w:cs="仿宋_GB2312"/>
                <w:b w:val="0"/>
                <w:bCs w:val="0"/>
                <w:snapToGrid w:val="0"/>
                <w:kern w:val="0"/>
                <w:sz w:val="24"/>
                <w:szCs w:val="24"/>
                <w:highlight w:val="none"/>
                <w:lang w:val="en-US" w:eastAsia="zh-CN" w:bidi="ar-SA"/>
              </w:rPr>
            </w:pPr>
            <w:r>
              <w:rPr>
                <w:rFonts w:hint="eastAsia" w:ascii="Times New Roman" w:hAnsi="Times New Roman" w:eastAsia="仿宋_GB2312" w:cs="仿宋_GB2312"/>
                <w:b w:val="0"/>
                <w:bCs w:val="0"/>
                <w:snapToGrid w:val="0"/>
                <w:kern w:val="0"/>
                <w:sz w:val="24"/>
                <w:szCs w:val="24"/>
                <w:highlight w:val="none"/>
              </w:rPr>
              <w:t>市域</w:t>
            </w:r>
          </w:p>
        </w:tc>
        <w:tc>
          <w:tcPr>
            <w:tcW w:w="1040" w:type="pct"/>
            <w:vAlign w:val="center"/>
          </w:tcPr>
          <w:p w14:paraId="0EADC960">
            <w:pPr>
              <w:keepNext w:val="0"/>
              <w:keepLines w:val="0"/>
              <w:pageBreakBefore w:val="0"/>
              <w:widowControl w:val="0"/>
              <w:kinsoku/>
              <w:wordWrap/>
              <w:overflowPunct/>
              <w:topLinePunct w:val="0"/>
              <w:autoSpaceDE/>
              <w:autoSpaceDN/>
              <w:bidi w:val="0"/>
              <w:adjustRightInd w:val="0"/>
              <w:snapToGrid w:val="0"/>
              <w:spacing w:line="240" w:lineRule="auto"/>
              <w:ind w:left="0" w:firstLine="0"/>
              <w:jc w:val="center"/>
              <w:textAlignment w:val="auto"/>
              <w:rPr>
                <w:rFonts w:hint="eastAsia" w:ascii="Times New Roman" w:hAnsi="Times New Roman" w:eastAsia="仿宋_GB2312" w:cs="仿宋_GB2312"/>
                <w:b w:val="0"/>
                <w:bCs w:val="0"/>
                <w:snapToGrid w:val="0"/>
                <w:kern w:val="0"/>
                <w:sz w:val="24"/>
                <w:szCs w:val="24"/>
                <w:highlight w:val="none"/>
                <w:lang w:val="en-US" w:eastAsia="zh-CN" w:bidi="ar-SA"/>
              </w:rPr>
            </w:pPr>
            <w:r>
              <w:rPr>
                <w:rFonts w:hint="eastAsia" w:ascii="Times New Roman" w:hAnsi="Times New Roman" w:eastAsia="仿宋_GB2312" w:cs="仿宋_GB2312"/>
                <w:b w:val="0"/>
                <w:bCs w:val="0"/>
                <w:snapToGrid w:val="0"/>
                <w:kern w:val="0"/>
                <w:sz w:val="24"/>
                <w:szCs w:val="24"/>
                <w:highlight w:val="none"/>
              </w:rPr>
              <w:t>市生态环境局</w:t>
            </w:r>
          </w:p>
        </w:tc>
      </w:tr>
      <w:tr w14:paraId="493863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1" w:hRule="exact"/>
          <w:jc w:val="center"/>
        </w:trPr>
        <w:tc>
          <w:tcPr>
            <w:tcW w:w="261" w:type="pct"/>
            <w:vMerge w:val="continue"/>
          </w:tcPr>
          <w:p w14:paraId="0F03E57F">
            <w:pPr>
              <w:keepNext w:val="0"/>
              <w:keepLines w:val="0"/>
              <w:pageBreakBefore w:val="0"/>
              <w:widowControl w:val="0"/>
              <w:kinsoku/>
              <w:wordWrap/>
              <w:overflowPunct/>
              <w:topLinePunct w:val="0"/>
              <w:autoSpaceDE/>
              <w:autoSpaceDN/>
              <w:bidi w:val="0"/>
              <w:spacing w:line="240" w:lineRule="auto"/>
              <w:ind w:left="0" w:firstLine="0"/>
              <w:jc w:val="both"/>
              <w:textAlignment w:val="auto"/>
              <w:rPr>
                <w:rFonts w:ascii="Times New Roman" w:hAnsi="Times New Roman" w:eastAsia="仿宋_GB2312" w:cs="仿宋_GB2312"/>
                <w:b w:val="0"/>
                <w:bCs w:val="0"/>
                <w:sz w:val="24"/>
                <w:szCs w:val="24"/>
                <w:highlight w:val="none"/>
              </w:rPr>
            </w:pPr>
          </w:p>
        </w:tc>
        <w:tc>
          <w:tcPr>
            <w:tcW w:w="314" w:type="pct"/>
            <w:vAlign w:val="center"/>
          </w:tcPr>
          <w:p w14:paraId="4D18CFFB">
            <w:pPr>
              <w:keepNext w:val="0"/>
              <w:keepLines w:val="0"/>
              <w:pageBreakBefore w:val="0"/>
              <w:widowControl w:val="0"/>
              <w:numPr>
                <w:ilvl w:val="0"/>
                <w:numId w:val="3"/>
              </w:numPr>
              <w:kinsoku/>
              <w:wordWrap/>
              <w:overflowPunct/>
              <w:topLinePunct w:val="0"/>
              <w:autoSpaceDE/>
              <w:autoSpaceDN/>
              <w:bidi w:val="0"/>
              <w:spacing w:line="240" w:lineRule="auto"/>
              <w:ind w:left="0" w:leftChars="0" w:firstLine="0" w:firstLineChars="0"/>
              <w:jc w:val="center"/>
              <w:textAlignment w:val="auto"/>
              <w:rPr>
                <w:rFonts w:ascii="Times New Roman" w:hAnsi="Times New Roman" w:eastAsia="仿宋_GB2312" w:cs="仿宋_GB2312"/>
                <w:b w:val="0"/>
                <w:bCs w:val="0"/>
                <w:kern w:val="2"/>
                <w:sz w:val="24"/>
                <w:szCs w:val="24"/>
                <w:highlight w:val="none"/>
                <w:lang w:val="en-US" w:eastAsia="zh-CN" w:bidi="ar-SA"/>
              </w:rPr>
            </w:pPr>
          </w:p>
        </w:tc>
        <w:tc>
          <w:tcPr>
            <w:tcW w:w="1557" w:type="pct"/>
            <w:vAlign w:val="center"/>
          </w:tcPr>
          <w:p w14:paraId="3849A8D7">
            <w:pPr>
              <w:keepNext w:val="0"/>
              <w:keepLines w:val="0"/>
              <w:pageBreakBefore w:val="0"/>
              <w:widowControl w:val="0"/>
              <w:kinsoku/>
              <w:wordWrap/>
              <w:overflowPunct/>
              <w:topLinePunct w:val="0"/>
              <w:autoSpaceDE/>
              <w:autoSpaceDN/>
              <w:bidi w:val="0"/>
              <w:spacing w:line="240" w:lineRule="auto"/>
              <w:ind w:left="0" w:firstLine="0"/>
              <w:jc w:val="both"/>
              <w:textAlignment w:val="auto"/>
              <w:rPr>
                <w:rFonts w:hint="eastAsia" w:ascii="Times New Roman" w:hAnsi="Times New Roman" w:eastAsia="仿宋_GB2312" w:cs="仿宋_GB2312"/>
                <w:b w:val="0"/>
                <w:bCs w:val="0"/>
                <w:kern w:val="2"/>
                <w:sz w:val="24"/>
                <w:szCs w:val="24"/>
                <w:highlight w:val="none"/>
                <w:lang w:val="en-US" w:eastAsia="zh-CN" w:bidi="ar-SA"/>
              </w:rPr>
            </w:pPr>
            <w:r>
              <w:rPr>
                <w:rFonts w:hint="eastAsia" w:ascii="Times New Roman" w:hAnsi="Times New Roman" w:eastAsia="仿宋_GB2312" w:cs="仿宋_GB2312"/>
                <w:b w:val="0"/>
                <w:bCs w:val="0"/>
                <w:sz w:val="24"/>
                <w:szCs w:val="24"/>
                <w:highlight w:val="none"/>
              </w:rPr>
              <w:t>城区透水面积占比（%）</w:t>
            </w:r>
          </w:p>
        </w:tc>
        <w:tc>
          <w:tcPr>
            <w:tcW w:w="1357" w:type="pct"/>
            <w:vAlign w:val="center"/>
          </w:tcPr>
          <w:p w14:paraId="6862C8B4">
            <w:pPr>
              <w:keepNext w:val="0"/>
              <w:keepLines w:val="0"/>
              <w:pageBreakBefore w:val="0"/>
              <w:widowControl w:val="0"/>
              <w:kinsoku/>
              <w:wordWrap/>
              <w:overflowPunct/>
              <w:topLinePunct w:val="0"/>
              <w:autoSpaceDE/>
              <w:autoSpaceDN/>
              <w:bidi w:val="0"/>
              <w:spacing w:line="240" w:lineRule="auto"/>
              <w:ind w:left="0" w:firstLine="0"/>
              <w:jc w:val="center"/>
              <w:textAlignment w:val="auto"/>
              <w:rPr>
                <w:rFonts w:hint="eastAsia" w:ascii="Times New Roman" w:hAnsi="Times New Roman" w:eastAsia="仿宋_GB2312" w:cs="仿宋_GB2312"/>
                <w:b w:val="0"/>
                <w:bCs w:val="0"/>
                <w:kern w:val="2"/>
                <w:sz w:val="24"/>
                <w:szCs w:val="24"/>
                <w:highlight w:val="none"/>
                <w:lang w:val="en-US" w:eastAsia="zh-CN" w:bidi="ar-SA"/>
              </w:rPr>
            </w:pPr>
            <w:r>
              <w:rPr>
                <w:rFonts w:hint="eastAsia" w:ascii="Times New Roman" w:hAnsi="Times New Roman" w:eastAsia="仿宋_GB2312" w:cs="仿宋_GB2312"/>
                <w:b w:val="0"/>
                <w:bCs w:val="0"/>
                <w:sz w:val="24"/>
                <w:szCs w:val="24"/>
                <w:highlight w:val="none"/>
              </w:rPr>
              <w:t>≥4</w:t>
            </w:r>
            <w:r>
              <w:rPr>
                <w:rFonts w:hint="default" w:ascii="Times New Roman" w:hAnsi="Times New Roman" w:eastAsia="仿宋_GB2312" w:cs="仿宋_GB2312"/>
                <w:b w:val="0"/>
                <w:bCs w:val="0"/>
                <w:sz w:val="24"/>
                <w:szCs w:val="24"/>
                <w:highlight w:val="none"/>
                <w:lang w:val="en-US"/>
              </w:rPr>
              <w:t>5</w:t>
            </w:r>
          </w:p>
        </w:tc>
        <w:tc>
          <w:tcPr>
            <w:tcW w:w="468" w:type="pct"/>
            <w:vAlign w:val="center"/>
          </w:tcPr>
          <w:p w14:paraId="105F1D0C">
            <w:pPr>
              <w:keepNext w:val="0"/>
              <w:keepLines w:val="0"/>
              <w:pageBreakBefore w:val="0"/>
              <w:widowControl w:val="0"/>
              <w:kinsoku/>
              <w:wordWrap/>
              <w:overflowPunct/>
              <w:topLinePunct w:val="0"/>
              <w:autoSpaceDE/>
              <w:autoSpaceDN/>
              <w:bidi w:val="0"/>
              <w:adjustRightInd w:val="0"/>
              <w:snapToGrid w:val="0"/>
              <w:spacing w:line="240" w:lineRule="auto"/>
              <w:ind w:left="0" w:firstLine="0"/>
              <w:jc w:val="center"/>
              <w:textAlignment w:val="auto"/>
              <w:rPr>
                <w:rFonts w:hint="eastAsia" w:ascii="Times New Roman" w:hAnsi="Times New Roman" w:eastAsia="仿宋_GB2312" w:cs="仿宋_GB2312"/>
                <w:b w:val="0"/>
                <w:bCs w:val="0"/>
                <w:snapToGrid w:val="0"/>
                <w:kern w:val="0"/>
                <w:sz w:val="24"/>
                <w:szCs w:val="24"/>
                <w:highlight w:val="none"/>
                <w:lang w:val="en-US" w:eastAsia="zh-CN" w:bidi="ar-SA"/>
              </w:rPr>
            </w:pPr>
            <w:r>
              <w:rPr>
                <w:rFonts w:hint="eastAsia" w:ascii="Times New Roman" w:hAnsi="Times New Roman" w:eastAsia="仿宋_GB2312" w:cs="仿宋_GB2312"/>
                <w:b w:val="0"/>
                <w:bCs w:val="0"/>
                <w:snapToGrid w:val="0"/>
                <w:kern w:val="0"/>
                <w:sz w:val="24"/>
                <w:szCs w:val="24"/>
                <w:highlight w:val="none"/>
              </w:rPr>
              <w:t>城区</w:t>
            </w:r>
          </w:p>
        </w:tc>
        <w:tc>
          <w:tcPr>
            <w:tcW w:w="1040" w:type="pct"/>
            <w:vAlign w:val="center"/>
          </w:tcPr>
          <w:p w14:paraId="28AE80F0">
            <w:pPr>
              <w:keepNext w:val="0"/>
              <w:keepLines w:val="0"/>
              <w:pageBreakBefore w:val="0"/>
              <w:widowControl w:val="0"/>
              <w:kinsoku/>
              <w:wordWrap/>
              <w:overflowPunct/>
              <w:topLinePunct w:val="0"/>
              <w:autoSpaceDE/>
              <w:autoSpaceDN/>
              <w:bidi w:val="0"/>
              <w:adjustRightInd w:val="0"/>
              <w:snapToGrid w:val="0"/>
              <w:spacing w:line="240" w:lineRule="auto"/>
              <w:ind w:left="0" w:firstLine="0"/>
              <w:jc w:val="center"/>
              <w:textAlignment w:val="auto"/>
              <w:rPr>
                <w:rFonts w:hint="eastAsia" w:ascii="Times New Roman" w:hAnsi="Times New Roman" w:eastAsia="仿宋_GB2312" w:cs="仿宋_GB2312"/>
                <w:b w:val="0"/>
                <w:bCs w:val="0"/>
                <w:snapToGrid w:val="0"/>
                <w:kern w:val="0"/>
                <w:sz w:val="24"/>
                <w:szCs w:val="24"/>
                <w:highlight w:val="none"/>
                <w:lang w:val="en-US" w:eastAsia="zh-CN" w:bidi="ar-SA"/>
              </w:rPr>
            </w:pPr>
            <w:r>
              <w:rPr>
                <w:rFonts w:hint="eastAsia" w:ascii="Times New Roman" w:hAnsi="Times New Roman" w:eastAsia="仿宋_GB2312" w:cs="仿宋_GB2312"/>
                <w:b w:val="0"/>
                <w:bCs w:val="0"/>
                <w:snapToGrid w:val="0"/>
                <w:kern w:val="0"/>
                <w:sz w:val="24"/>
                <w:szCs w:val="24"/>
                <w:highlight w:val="none"/>
                <w:lang w:eastAsia="zh-CN"/>
              </w:rPr>
              <w:t>市住房和城市更新局</w:t>
            </w:r>
            <w:r>
              <w:rPr>
                <w:rFonts w:hint="eastAsia" w:ascii="Times New Roman" w:hAnsi="Times New Roman" w:eastAsia="仿宋_GB2312" w:cs="仿宋_GB2312"/>
                <w:b w:val="0"/>
                <w:bCs w:val="0"/>
                <w:snapToGrid w:val="0"/>
                <w:kern w:val="0"/>
                <w:sz w:val="24"/>
                <w:szCs w:val="24"/>
                <w:highlight w:val="none"/>
                <w:lang w:val="en-US" w:eastAsia="zh-CN"/>
              </w:rPr>
              <w:t>、</w:t>
            </w:r>
            <w:r>
              <w:rPr>
                <w:rFonts w:hint="eastAsia" w:ascii="Times New Roman" w:hAnsi="Times New Roman" w:eastAsia="仿宋_GB2312" w:cs="仿宋_GB2312"/>
                <w:b w:val="0"/>
                <w:bCs w:val="0"/>
                <w:snapToGrid w:val="0"/>
                <w:kern w:val="0"/>
                <w:sz w:val="24"/>
                <w:szCs w:val="24"/>
                <w:highlight w:val="none"/>
              </w:rPr>
              <w:t>市</w:t>
            </w:r>
            <w:r>
              <w:rPr>
                <w:rFonts w:hint="eastAsia" w:ascii="Times New Roman" w:hAnsi="Times New Roman" w:eastAsia="仿宋_GB2312" w:cs="仿宋_GB2312"/>
                <w:b w:val="0"/>
                <w:bCs w:val="0"/>
                <w:snapToGrid w:val="0"/>
                <w:kern w:val="0"/>
                <w:sz w:val="24"/>
                <w:szCs w:val="24"/>
                <w:highlight w:val="none"/>
                <w:lang w:eastAsia="zh-CN"/>
              </w:rPr>
              <w:t>自然资源</w:t>
            </w:r>
            <w:r>
              <w:rPr>
                <w:rFonts w:hint="eastAsia" w:ascii="Times New Roman" w:hAnsi="Times New Roman" w:eastAsia="仿宋_GB2312" w:cs="仿宋_GB2312"/>
                <w:b w:val="0"/>
                <w:bCs w:val="0"/>
                <w:snapToGrid w:val="0"/>
                <w:kern w:val="0"/>
                <w:sz w:val="24"/>
                <w:szCs w:val="24"/>
                <w:highlight w:val="none"/>
                <w:lang w:val="en-US" w:eastAsia="zh-CN"/>
              </w:rPr>
              <w:t>和城乡建设局</w:t>
            </w:r>
          </w:p>
        </w:tc>
      </w:tr>
      <w:tr w14:paraId="5E5BD0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4" w:hRule="exact"/>
          <w:jc w:val="center"/>
        </w:trPr>
        <w:tc>
          <w:tcPr>
            <w:tcW w:w="261" w:type="pct"/>
            <w:vMerge w:val="continue"/>
          </w:tcPr>
          <w:p w14:paraId="04ABFE45">
            <w:pPr>
              <w:keepNext w:val="0"/>
              <w:keepLines w:val="0"/>
              <w:pageBreakBefore w:val="0"/>
              <w:widowControl w:val="0"/>
              <w:kinsoku/>
              <w:wordWrap/>
              <w:overflowPunct/>
              <w:topLinePunct w:val="0"/>
              <w:autoSpaceDE/>
              <w:autoSpaceDN/>
              <w:bidi w:val="0"/>
              <w:spacing w:line="240" w:lineRule="auto"/>
              <w:ind w:left="0" w:firstLine="0"/>
              <w:jc w:val="both"/>
              <w:textAlignment w:val="auto"/>
              <w:rPr>
                <w:rFonts w:ascii="Times New Roman" w:hAnsi="Times New Roman" w:eastAsia="仿宋_GB2312" w:cs="仿宋_GB2312"/>
                <w:b w:val="0"/>
                <w:bCs w:val="0"/>
                <w:sz w:val="24"/>
                <w:szCs w:val="24"/>
                <w:highlight w:val="none"/>
              </w:rPr>
            </w:pPr>
          </w:p>
        </w:tc>
        <w:tc>
          <w:tcPr>
            <w:tcW w:w="314" w:type="pct"/>
            <w:vAlign w:val="center"/>
          </w:tcPr>
          <w:p w14:paraId="78FD19EA">
            <w:pPr>
              <w:keepNext w:val="0"/>
              <w:keepLines w:val="0"/>
              <w:pageBreakBefore w:val="0"/>
              <w:widowControl w:val="0"/>
              <w:numPr>
                <w:ilvl w:val="0"/>
                <w:numId w:val="3"/>
              </w:numPr>
              <w:kinsoku/>
              <w:wordWrap/>
              <w:overflowPunct/>
              <w:topLinePunct w:val="0"/>
              <w:autoSpaceDE/>
              <w:autoSpaceDN/>
              <w:bidi w:val="0"/>
              <w:spacing w:line="240" w:lineRule="auto"/>
              <w:ind w:left="0" w:leftChars="0" w:firstLine="0" w:firstLineChars="0"/>
              <w:jc w:val="center"/>
              <w:textAlignment w:val="auto"/>
              <w:rPr>
                <w:rFonts w:ascii="Times New Roman" w:hAnsi="Times New Roman" w:eastAsia="仿宋_GB2312" w:cs="仿宋_GB2312"/>
                <w:b w:val="0"/>
                <w:bCs w:val="0"/>
                <w:kern w:val="2"/>
                <w:sz w:val="24"/>
                <w:szCs w:val="24"/>
                <w:highlight w:val="none"/>
                <w:lang w:val="en-US" w:eastAsia="zh-CN" w:bidi="ar-SA"/>
              </w:rPr>
            </w:pPr>
          </w:p>
        </w:tc>
        <w:tc>
          <w:tcPr>
            <w:tcW w:w="1557" w:type="pct"/>
            <w:vAlign w:val="center"/>
          </w:tcPr>
          <w:p w14:paraId="2ADBAFD7">
            <w:pPr>
              <w:keepNext w:val="0"/>
              <w:keepLines w:val="0"/>
              <w:pageBreakBefore w:val="0"/>
              <w:widowControl w:val="0"/>
              <w:kinsoku/>
              <w:wordWrap/>
              <w:overflowPunct/>
              <w:topLinePunct w:val="0"/>
              <w:autoSpaceDE/>
              <w:autoSpaceDN/>
              <w:bidi w:val="0"/>
              <w:adjustRightInd w:val="0"/>
              <w:snapToGrid w:val="0"/>
              <w:spacing w:line="240" w:lineRule="auto"/>
              <w:ind w:left="0" w:firstLine="0"/>
              <w:jc w:val="both"/>
              <w:textAlignment w:val="auto"/>
              <w:rPr>
                <w:rFonts w:hint="eastAsia" w:ascii="Times New Roman" w:hAnsi="Times New Roman" w:eastAsia="仿宋_GB2312" w:cs="仿宋_GB2312"/>
                <w:b w:val="0"/>
                <w:bCs w:val="0"/>
                <w:snapToGrid w:val="0"/>
                <w:kern w:val="0"/>
                <w:sz w:val="24"/>
                <w:szCs w:val="24"/>
                <w:highlight w:val="none"/>
                <w:lang w:val="en-US" w:eastAsia="zh-CN" w:bidi="ar-SA"/>
              </w:rPr>
            </w:pPr>
            <w:r>
              <w:rPr>
                <w:rFonts w:hint="eastAsia" w:ascii="Times New Roman" w:hAnsi="Times New Roman" w:eastAsia="仿宋_GB2312" w:cs="仿宋_GB2312"/>
                <w:b w:val="0"/>
                <w:bCs w:val="0"/>
                <w:snapToGrid w:val="0"/>
                <w:kern w:val="0"/>
                <w:sz w:val="24"/>
                <w:szCs w:val="24"/>
                <w:highlight w:val="none"/>
              </w:rPr>
              <w:t>环境健康风险源管控率（%）</w:t>
            </w:r>
          </w:p>
        </w:tc>
        <w:tc>
          <w:tcPr>
            <w:tcW w:w="1357" w:type="pct"/>
            <w:vAlign w:val="center"/>
          </w:tcPr>
          <w:p w14:paraId="6BC5D7A0">
            <w:pPr>
              <w:keepNext w:val="0"/>
              <w:keepLines w:val="0"/>
              <w:pageBreakBefore w:val="0"/>
              <w:widowControl w:val="0"/>
              <w:kinsoku/>
              <w:wordWrap/>
              <w:overflowPunct/>
              <w:topLinePunct w:val="0"/>
              <w:autoSpaceDE/>
              <w:autoSpaceDN/>
              <w:bidi w:val="0"/>
              <w:adjustRightInd w:val="0"/>
              <w:snapToGrid w:val="0"/>
              <w:spacing w:line="240" w:lineRule="auto"/>
              <w:ind w:left="0" w:firstLine="0"/>
              <w:jc w:val="center"/>
              <w:textAlignment w:val="auto"/>
              <w:rPr>
                <w:rFonts w:hint="eastAsia" w:ascii="Times New Roman" w:hAnsi="Times New Roman" w:eastAsia="仿宋_GB2312" w:cs="仿宋_GB2312"/>
                <w:b w:val="0"/>
                <w:bCs w:val="0"/>
                <w:snapToGrid w:val="0"/>
                <w:kern w:val="0"/>
                <w:sz w:val="24"/>
                <w:szCs w:val="24"/>
                <w:highlight w:val="none"/>
                <w:lang w:val="en-US" w:eastAsia="zh-CN" w:bidi="ar-SA"/>
              </w:rPr>
            </w:pPr>
            <w:r>
              <w:rPr>
                <w:rFonts w:hint="eastAsia" w:ascii="Times New Roman" w:hAnsi="Times New Roman" w:eastAsia="仿宋_GB2312" w:cs="仿宋_GB2312"/>
                <w:b w:val="0"/>
                <w:bCs w:val="0"/>
                <w:snapToGrid w:val="0"/>
                <w:kern w:val="0"/>
                <w:sz w:val="24"/>
                <w:szCs w:val="24"/>
                <w:highlight w:val="none"/>
                <w:lang w:val="en-US" w:eastAsia="zh-CN" w:bidi="ar-SA"/>
              </w:rPr>
              <w:t>纳入环境监管重点单位名录的较高风险等级及以上的风险源应纳尽纳</w:t>
            </w:r>
          </w:p>
        </w:tc>
        <w:tc>
          <w:tcPr>
            <w:tcW w:w="468" w:type="pct"/>
            <w:vAlign w:val="center"/>
          </w:tcPr>
          <w:p w14:paraId="73699FF1">
            <w:pPr>
              <w:keepNext w:val="0"/>
              <w:keepLines w:val="0"/>
              <w:pageBreakBefore w:val="0"/>
              <w:widowControl w:val="0"/>
              <w:kinsoku/>
              <w:wordWrap/>
              <w:overflowPunct/>
              <w:topLinePunct w:val="0"/>
              <w:autoSpaceDE/>
              <w:autoSpaceDN/>
              <w:bidi w:val="0"/>
              <w:adjustRightInd w:val="0"/>
              <w:snapToGrid w:val="0"/>
              <w:spacing w:line="240" w:lineRule="auto"/>
              <w:ind w:left="0" w:firstLine="0"/>
              <w:jc w:val="center"/>
              <w:textAlignment w:val="auto"/>
              <w:rPr>
                <w:rFonts w:hint="eastAsia" w:ascii="Times New Roman" w:hAnsi="Times New Roman" w:eastAsia="仿宋_GB2312" w:cs="仿宋_GB2312"/>
                <w:b w:val="0"/>
                <w:bCs w:val="0"/>
                <w:snapToGrid w:val="0"/>
                <w:kern w:val="0"/>
                <w:sz w:val="24"/>
                <w:szCs w:val="24"/>
                <w:highlight w:val="none"/>
                <w:lang w:val="en-US" w:eastAsia="zh-CN" w:bidi="ar-SA"/>
              </w:rPr>
            </w:pPr>
            <w:r>
              <w:rPr>
                <w:rFonts w:hint="eastAsia" w:ascii="Times New Roman" w:hAnsi="Times New Roman" w:eastAsia="仿宋_GB2312" w:cs="仿宋_GB2312"/>
                <w:b w:val="0"/>
                <w:bCs w:val="0"/>
                <w:snapToGrid w:val="0"/>
                <w:kern w:val="0"/>
                <w:sz w:val="24"/>
                <w:szCs w:val="24"/>
                <w:highlight w:val="none"/>
              </w:rPr>
              <w:t>市域</w:t>
            </w:r>
          </w:p>
        </w:tc>
        <w:tc>
          <w:tcPr>
            <w:tcW w:w="1040" w:type="pct"/>
            <w:vAlign w:val="center"/>
          </w:tcPr>
          <w:p w14:paraId="558A9985">
            <w:pPr>
              <w:keepNext w:val="0"/>
              <w:keepLines w:val="0"/>
              <w:pageBreakBefore w:val="0"/>
              <w:widowControl w:val="0"/>
              <w:kinsoku/>
              <w:wordWrap/>
              <w:overflowPunct/>
              <w:topLinePunct w:val="0"/>
              <w:autoSpaceDE/>
              <w:autoSpaceDN/>
              <w:bidi w:val="0"/>
              <w:adjustRightInd w:val="0"/>
              <w:snapToGrid w:val="0"/>
              <w:spacing w:line="240" w:lineRule="auto"/>
              <w:ind w:left="0" w:firstLine="0"/>
              <w:jc w:val="center"/>
              <w:textAlignment w:val="auto"/>
              <w:rPr>
                <w:rFonts w:hint="eastAsia" w:ascii="Times New Roman" w:hAnsi="Times New Roman" w:eastAsia="仿宋_GB2312" w:cs="仿宋_GB2312"/>
                <w:b w:val="0"/>
                <w:bCs w:val="0"/>
                <w:snapToGrid w:val="0"/>
                <w:kern w:val="0"/>
                <w:sz w:val="24"/>
                <w:szCs w:val="24"/>
                <w:highlight w:val="none"/>
                <w:lang w:val="en-US" w:eastAsia="zh-CN" w:bidi="ar-SA"/>
              </w:rPr>
            </w:pPr>
            <w:r>
              <w:rPr>
                <w:rFonts w:hint="eastAsia" w:ascii="Times New Roman" w:hAnsi="Times New Roman" w:eastAsia="仿宋_GB2312" w:cs="仿宋_GB2312"/>
                <w:b w:val="0"/>
                <w:bCs w:val="0"/>
                <w:snapToGrid w:val="0"/>
                <w:kern w:val="0"/>
                <w:sz w:val="24"/>
                <w:szCs w:val="24"/>
                <w:highlight w:val="none"/>
              </w:rPr>
              <w:t>市生态环境局</w:t>
            </w:r>
            <w:r>
              <w:rPr>
                <w:rFonts w:hint="eastAsia" w:ascii="Times New Roman" w:hAnsi="Times New Roman" w:eastAsia="仿宋_GB2312" w:cs="仿宋_GB2312"/>
                <w:b w:val="0"/>
                <w:bCs w:val="0"/>
                <w:snapToGrid w:val="0"/>
                <w:kern w:val="0"/>
                <w:sz w:val="24"/>
                <w:szCs w:val="24"/>
                <w:highlight w:val="none"/>
                <w:lang w:eastAsia="zh-CN"/>
              </w:rPr>
              <w:t>、市卫健委</w:t>
            </w:r>
          </w:p>
        </w:tc>
      </w:tr>
      <w:tr w14:paraId="2313A1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9" w:hRule="exact"/>
          <w:jc w:val="center"/>
        </w:trPr>
        <w:tc>
          <w:tcPr>
            <w:tcW w:w="261" w:type="pct"/>
            <w:vMerge w:val="restart"/>
            <w:vAlign w:val="center"/>
          </w:tcPr>
          <w:p w14:paraId="6BF6AC5E">
            <w:pPr>
              <w:keepNext w:val="0"/>
              <w:keepLines w:val="0"/>
              <w:pageBreakBefore w:val="0"/>
              <w:widowControl w:val="0"/>
              <w:kinsoku/>
              <w:wordWrap/>
              <w:overflowPunct/>
              <w:topLinePunct w:val="0"/>
              <w:autoSpaceDE/>
              <w:autoSpaceDN/>
              <w:bidi w:val="0"/>
              <w:spacing w:line="240" w:lineRule="auto"/>
              <w:ind w:left="0" w:firstLine="0"/>
              <w:jc w:val="center"/>
              <w:textAlignment w:val="auto"/>
              <w:rPr>
                <w:rFonts w:hint="eastAsia" w:ascii="Times New Roman" w:hAnsi="Times New Roman" w:eastAsia="仿宋_GB2312" w:cs="仿宋_GB2312"/>
                <w:b w:val="0"/>
                <w:bCs w:val="0"/>
                <w:sz w:val="24"/>
                <w:szCs w:val="24"/>
                <w:highlight w:val="none"/>
                <w:lang w:val="en-US" w:eastAsia="zh-CN"/>
              </w:rPr>
            </w:pPr>
            <w:r>
              <w:rPr>
                <w:rFonts w:hint="eastAsia" w:ascii="Times New Roman" w:hAnsi="Times New Roman" w:eastAsia="仿宋_GB2312" w:cs="仿宋_GB2312"/>
                <w:b w:val="0"/>
                <w:bCs w:val="0"/>
                <w:sz w:val="24"/>
                <w:szCs w:val="24"/>
                <w:highlight w:val="none"/>
                <w:lang w:val="en-US" w:eastAsia="zh-CN"/>
              </w:rPr>
              <w:t>智慧高效</w:t>
            </w:r>
          </w:p>
        </w:tc>
        <w:tc>
          <w:tcPr>
            <w:tcW w:w="314" w:type="pct"/>
            <w:vAlign w:val="center"/>
          </w:tcPr>
          <w:p w14:paraId="61155455">
            <w:pPr>
              <w:keepNext w:val="0"/>
              <w:keepLines w:val="0"/>
              <w:pageBreakBefore w:val="0"/>
              <w:widowControl w:val="0"/>
              <w:numPr>
                <w:ilvl w:val="0"/>
                <w:numId w:val="3"/>
              </w:numPr>
              <w:kinsoku/>
              <w:wordWrap/>
              <w:overflowPunct/>
              <w:topLinePunct w:val="0"/>
              <w:autoSpaceDE/>
              <w:autoSpaceDN/>
              <w:bidi w:val="0"/>
              <w:spacing w:line="240" w:lineRule="auto"/>
              <w:ind w:left="0" w:leftChars="0" w:firstLine="0" w:firstLineChars="0"/>
              <w:jc w:val="center"/>
              <w:textAlignment w:val="auto"/>
              <w:rPr>
                <w:rFonts w:ascii="Times New Roman" w:hAnsi="Times New Roman" w:eastAsia="仿宋_GB2312" w:cs="仿宋_GB2312"/>
                <w:b w:val="0"/>
                <w:bCs w:val="0"/>
                <w:kern w:val="2"/>
                <w:sz w:val="24"/>
                <w:szCs w:val="24"/>
                <w:highlight w:val="none"/>
                <w:lang w:val="en-US" w:eastAsia="zh-CN" w:bidi="ar-SA"/>
              </w:rPr>
            </w:pPr>
          </w:p>
        </w:tc>
        <w:tc>
          <w:tcPr>
            <w:tcW w:w="1557" w:type="pct"/>
            <w:vAlign w:val="center"/>
          </w:tcPr>
          <w:p w14:paraId="32C0F0DF">
            <w:pPr>
              <w:keepNext w:val="0"/>
              <w:keepLines w:val="0"/>
              <w:pageBreakBefore w:val="0"/>
              <w:widowControl w:val="0"/>
              <w:kinsoku/>
              <w:wordWrap/>
              <w:overflowPunct/>
              <w:topLinePunct w:val="0"/>
              <w:autoSpaceDE/>
              <w:autoSpaceDN/>
              <w:bidi w:val="0"/>
              <w:adjustRightInd w:val="0"/>
              <w:snapToGrid w:val="0"/>
              <w:spacing w:line="240" w:lineRule="auto"/>
              <w:ind w:left="0" w:firstLine="0"/>
              <w:jc w:val="both"/>
              <w:textAlignment w:val="auto"/>
              <w:rPr>
                <w:rFonts w:hint="eastAsia" w:ascii="Times New Roman" w:hAnsi="Times New Roman" w:eastAsia="仿宋_GB2312" w:cs="仿宋_GB2312"/>
                <w:b w:val="0"/>
                <w:bCs w:val="0"/>
                <w:snapToGrid w:val="0"/>
                <w:spacing w:val="-1"/>
                <w:kern w:val="0"/>
                <w:sz w:val="24"/>
                <w:szCs w:val="24"/>
                <w:highlight w:val="none"/>
                <w:lang w:val="en-US" w:eastAsia="zh-CN" w:bidi="ar-SA"/>
              </w:rPr>
            </w:pPr>
            <w:r>
              <w:rPr>
                <w:rFonts w:hint="eastAsia" w:ascii="Times New Roman" w:hAnsi="Times New Roman" w:eastAsia="仿宋_GB2312" w:cs="仿宋_GB2312"/>
                <w:b w:val="0"/>
                <w:bCs w:val="0"/>
                <w:snapToGrid w:val="0"/>
                <w:spacing w:val="-1"/>
                <w:kern w:val="0"/>
                <w:sz w:val="24"/>
                <w:szCs w:val="24"/>
                <w:highlight w:val="none"/>
              </w:rPr>
              <w:t>生态环境监测网络覆盖情况</w:t>
            </w:r>
          </w:p>
        </w:tc>
        <w:tc>
          <w:tcPr>
            <w:tcW w:w="1357" w:type="pct"/>
            <w:vAlign w:val="center"/>
          </w:tcPr>
          <w:p w14:paraId="02B06859">
            <w:pPr>
              <w:keepNext w:val="0"/>
              <w:keepLines w:val="0"/>
              <w:pageBreakBefore w:val="0"/>
              <w:widowControl w:val="0"/>
              <w:kinsoku/>
              <w:wordWrap/>
              <w:overflowPunct/>
              <w:topLinePunct w:val="0"/>
              <w:autoSpaceDE/>
              <w:autoSpaceDN/>
              <w:bidi w:val="0"/>
              <w:adjustRightInd w:val="0"/>
              <w:snapToGrid w:val="0"/>
              <w:spacing w:line="240" w:lineRule="auto"/>
              <w:ind w:left="0" w:firstLine="0"/>
              <w:jc w:val="center"/>
              <w:textAlignment w:val="auto"/>
              <w:rPr>
                <w:rFonts w:hint="eastAsia" w:ascii="Times New Roman" w:hAnsi="Times New Roman" w:eastAsia="仿宋_GB2312" w:cs="仿宋_GB2312"/>
                <w:b w:val="0"/>
                <w:bCs w:val="0"/>
                <w:snapToGrid w:val="0"/>
                <w:kern w:val="0"/>
                <w:sz w:val="24"/>
                <w:szCs w:val="24"/>
                <w:highlight w:val="none"/>
                <w:lang w:val="en-US" w:eastAsia="zh-CN" w:bidi="ar-SA"/>
              </w:rPr>
            </w:pPr>
            <w:r>
              <w:rPr>
                <w:rFonts w:hint="eastAsia" w:ascii="Times New Roman" w:hAnsi="Times New Roman" w:eastAsia="仿宋_GB2312" w:cs="仿宋_GB2312"/>
                <w:b w:val="0"/>
                <w:bCs w:val="0"/>
                <w:sz w:val="24"/>
                <w:szCs w:val="24"/>
                <w:highlight w:val="none"/>
              </w:rPr>
              <w:t>监测体系全覆盖</w:t>
            </w:r>
            <w:r>
              <w:rPr>
                <w:rFonts w:hint="eastAsia" w:ascii="Times New Roman" w:hAnsi="Times New Roman" w:eastAsia="仿宋_GB2312" w:cs="仿宋_GB2312"/>
                <w:b w:val="0"/>
                <w:bCs w:val="0"/>
                <w:sz w:val="24"/>
                <w:szCs w:val="24"/>
                <w:highlight w:val="none"/>
                <w:lang w:eastAsia="zh-CN"/>
              </w:rPr>
              <w:t>，</w:t>
            </w:r>
            <w:r>
              <w:rPr>
                <w:rFonts w:hint="eastAsia" w:ascii="Times New Roman" w:hAnsi="Times New Roman" w:eastAsia="仿宋_GB2312" w:cs="仿宋_GB2312"/>
                <w:b w:val="0"/>
                <w:bCs w:val="0"/>
                <w:sz w:val="24"/>
                <w:szCs w:val="24"/>
                <w:highlight w:val="none"/>
                <w:lang w:val="en-US" w:eastAsia="zh-CN"/>
              </w:rPr>
              <w:t>运用新型监控手段加强生态环境感知体系建设</w:t>
            </w:r>
          </w:p>
        </w:tc>
        <w:tc>
          <w:tcPr>
            <w:tcW w:w="468" w:type="pct"/>
            <w:vAlign w:val="center"/>
          </w:tcPr>
          <w:p w14:paraId="4DB33181">
            <w:pPr>
              <w:keepNext w:val="0"/>
              <w:keepLines w:val="0"/>
              <w:pageBreakBefore w:val="0"/>
              <w:widowControl w:val="0"/>
              <w:kinsoku/>
              <w:wordWrap/>
              <w:overflowPunct/>
              <w:topLinePunct w:val="0"/>
              <w:autoSpaceDE/>
              <w:autoSpaceDN/>
              <w:bidi w:val="0"/>
              <w:adjustRightInd w:val="0"/>
              <w:snapToGrid w:val="0"/>
              <w:spacing w:line="240" w:lineRule="auto"/>
              <w:ind w:left="0" w:firstLine="0"/>
              <w:jc w:val="center"/>
              <w:textAlignment w:val="auto"/>
              <w:rPr>
                <w:rFonts w:hint="eastAsia" w:ascii="Times New Roman" w:hAnsi="Times New Roman" w:eastAsia="仿宋_GB2312" w:cs="仿宋_GB2312"/>
                <w:b w:val="0"/>
                <w:bCs w:val="0"/>
                <w:snapToGrid w:val="0"/>
                <w:kern w:val="0"/>
                <w:sz w:val="24"/>
                <w:szCs w:val="24"/>
                <w:highlight w:val="none"/>
                <w:lang w:val="en-US" w:eastAsia="zh-CN" w:bidi="ar-SA"/>
              </w:rPr>
            </w:pPr>
            <w:r>
              <w:rPr>
                <w:rFonts w:hint="eastAsia" w:ascii="Times New Roman" w:hAnsi="Times New Roman" w:eastAsia="仿宋_GB2312" w:cs="仿宋_GB2312"/>
                <w:b w:val="0"/>
                <w:bCs w:val="0"/>
                <w:snapToGrid w:val="0"/>
                <w:kern w:val="0"/>
                <w:sz w:val="24"/>
                <w:szCs w:val="24"/>
                <w:highlight w:val="none"/>
              </w:rPr>
              <w:t>市域</w:t>
            </w:r>
          </w:p>
        </w:tc>
        <w:tc>
          <w:tcPr>
            <w:tcW w:w="1040" w:type="pct"/>
            <w:vAlign w:val="center"/>
          </w:tcPr>
          <w:p w14:paraId="0FA2827C">
            <w:pPr>
              <w:keepNext w:val="0"/>
              <w:keepLines w:val="0"/>
              <w:pageBreakBefore w:val="0"/>
              <w:widowControl w:val="0"/>
              <w:kinsoku/>
              <w:wordWrap/>
              <w:overflowPunct/>
              <w:topLinePunct w:val="0"/>
              <w:autoSpaceDE/>
              <w:autoSpaceDN/>
              <w:bidi w:val="0"/>
              <w:adjustRightInd w:val="0"/>
              <w:snapToGrid w:val="0"/>
              <w:spacing w:line="240" w:lineRule="auto"/>
              <w:ind w:left="0" w:firstLine="0"/>
              <w:jc w:val="center"/>
              <w:textAlignment w:val="auto"/>
              <w:rPr>
                <w:rFonts w:hint="eastAsia" w:ascii="Times New Roman" w:hAnsi="Times New Roman" w:eastAsia="仿宋_GB2312" w:cs="仿宋_GB2312"/>
                <w:b w:val="0"/>
                <w:bCs w:val="0"/>
                <w:snapToGrid w:val="0"/>
                <w:kern w:val="0"/>
                <w:sz w:val="24"/>
                <w:szCs w:val="24"/>
                <w:highlight w:val="none"/>
                <w:lang w:val="en-US" w:eastAsia="zh-CN" w:bidi="ar-SA"/>
              </w:rPr>
            </w:pPr>
            <w:r>
              <w:rPr>
                <w:rFonts w:hint="eastAsia" w:ascii="Times New Roman" w:hAnsi="Times New Roman" w:eastAsia="仿宋_GB2312" w:cs="仿宋_GB2312"/>
                <w:b w:val="0"/>
                <w:bCs w:val="0"/>
                <w:snapToGrid w:val="0"/>
                <w:kern w:val="0"/>
                <w:sz w:val="24"/>
                <w:szCs w:val="24"/>
                <w:highlight w:val="none"/>
              </w:rPr>
              <w:t>市生态环境局</w:t>
            </w:r>
          </w:p>
        </w:tc>
      </w:tr>
      <w:tr w14:paraId="421EA0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exact"/>
          <w:jc w:val="center"/>
        </w:trPr>
        <w:tc>
          <w:tcPr>
            <w:tcW w:w="261" w:type="pct"/>
            <w:vMerge w:val="continue"/>
          </w:tcPr>
          <w:p w14:paraId="443C87B0">
            <w:pPr>
              <w:keepNext w:val="0"/>
              <w:keepLines w:val="0"/>
              <w:pageBreakBefore w:val="0"/>
              <w:widowControl w:val="0"/>
              <w:kinsoku/>
              <w:wordWrap/>
              <w:overflowPunct/>
              <w:topLinePunct w:val="0"/>
              <w:autoSpaceDE/>
              <w:autoSpaceDN/>
              <w:bidi w:val="0"/>
              <w:spacing w:line="240" w:lineRule="auto"/>
              <w:ind w:left="0" w:firstLine="0"/>
              <w:jc w:val="both"/>
              <w:textAlignment w:val="auto"/>
              <w:rPr>
                <w:rFonts w:ascii="Times New Roman" w:hAnsi="Times New Roman" w:eastAsia="仿宋_GB2312" w:cs="仿宋_GB2312"/>
                <w:b w:val="0"/>
                <w:bCs w:val="0"/>
                <w:sz w:val="24"/>
                <w:szCs w:val="24"/>
                <w:highlight w:val="none"/>
              </w:rPr>
            </w:pPr>
          </w:p>
        </w:tc>
        <w:tc>
          <w:tcPr>
            <w:tcW w:w="314" w:type="pct"/>
            <w:vAlign w:val="center"/>
          </w:tcPr>
          <w:p w14:paraId="20A9137D">
            <w:pPr>
              <w:keepNext w:val="0"/>
              <w:keepLines w:val="0"/>
              <w:pageBreakBefore w:val="0"/>
              <w:widowControl w:val="0"/>
              <w:numPr>
                <w:ilvl w:val="0"/>
                <w:numId w:val="3"/>
              </w:numPr>
              <w:kinsoku/>
              <w:wordWrap/>
              <w:overflowPunct/>
              <w:topLinePunct w:val="0"/>
              <w:autoSpaceDE/>
              <w:autoSpaceDN/>
              <w:bidi w:val="0"/>
              <w:spacing w:line="240" w:lineRule="auto"/>
              <w:ind w:left="0" w:leftChars="0" w:firstLine="0" w:firstLineChars="0"/>
              <w:jc w:val="center"/>
              <w:textAlignment w:val="auto"/>
              <w:rPr>
                <w:rFonts w:ascii="Times New Roman" w:hAnsi="Times New Roman" w:eastAsia="仿宋_GB2312" w:cs="仿宋_GB2312"/>
                <w:b w:val="0"/>
                <w:bCs w:val="0"/>
                <w:kern w:val="2"/>
                <w:sz w:val="24"/>
                <w:szCs w:val="24"/>
                <w:highlight w:val="none"/>
                <w:lang w:val="en-US" w:eastAsia="zh-CN" w:bidi="ar-SA"/>
              </w:rPr>
            </w:pPr>
          </w:p>
        </w:tc>
        <w:tc>
          <w:tcPr>
            <w:tcW w:w="1557" w:type="pct"/>
            <w:vAlign w:val="center"/>
          </w:tcPr>
          <w:p w14:paraId="09D102C4">
            <w:pPr>
              <w:keepNext w:val="0"/>
              <w:keepLines w:val="0"/>
              <w:pageBreakBefore w:val="0"/>
              <w:widowControl w:val="0"/>
              <w:kinsoku/>
              <w:wordWrap/>
              <w:overflowPunct/>
              <w:topLinePunct w:val="0"/>
              <w:autoSpaceDE/>
              <w:autoSpaceDN/>
              <w:bidi w:val="0"/>
              <w:adjustRightInd w:val="0"/>
              <w:snapToGrid w:val="0"/>
              <w:spacing w:line="240" w:lineRule="auto"/>
              <w:ind w:left="0" w:firstLine="0"/>
              <w:jc w:val="both"/>
              <w:textAlignment w:val="auto"/>
              <w:rPr>
                <w:rFonts w:hint="eastAsia" w:ascii="Times New Roman" w:hAnsi="Times New Roman" w:eastAsia="仿宋_GB2312" w:cs="仿宋_GB2312"/>
                <w:b w:val="0"/>
                <w:bCs w:val="0"/>
                <w:snapToGrid w:val="0"/>
                <w:spacing w:val="-1"/>
                <w:kern w:val="0"/>
                <w:sz w:val="24"/>
                <w:szCs w:val="24"/>
                <w:highlight w:val="none"/>
                <w:lang w:val="en-US" w:eastAsia="zh-CN" w:bidi="ar-SA"/>
              </w:rPr>
            </w:pPr>
            <w:r>
              <w:rPr>
                <w:rFonts w:hint="eastAsia" w:ascii="Times New Roman" w:hAnsi="Times New Roman" w:eastAsia="仿宋_GB2312" w:cs="仿宋_GB2312"/>
                <w:b w:val="0"/>
                <w:bCs w:val="0"/>
                <w:snapToGrid w:val="0"/>
                <w:kern w:val="0"/>
                <w:sz w:val="24"/>
                <w:szCs w:val="24"/>
                <w:highlight w:val="none"/>
              </w:rPr>
              <w:t>城市智慧环保信息平台应用场景（个）</w:t>
            </w:r>
          </w:p>
        </w:tc>
        <w:tc>
          <w:tcPr>
            <w:tcW w:w="1357" w:type="pct"/>
            <w:vAlign w:val="center"/>
          </w:tcPr>
          <w:p w14:paraId="0FBBF8D5">
            <w:pPr>
              <w:keepNext w:val="0"/>
              <w:keepLines w:val="0"/>
              <w:pageBreakBefore w:val="0"/>
              <w:widowControl w:val="0"/>
              <w:kinsoku/>
              <w:wordWrap/>
              <w:overflowPunct/>
              <w:topLinePunct w:val="0"/>
              <w:autoSpaceDE/>
              <w:autoSpaceDN/>
              <w:bidi w:val="0"/>
              <w:adjustRightInd w:val="0"/>
              <w:snapToGrid w:val="0"/>
              <w:spacing w:line="240" w:lineRule="auto"/>
              <w:ind w:left="0" w:firstLine="0"/>
              <w:jc w:val="center"/>
              <w:textAlignment w:val="auto"/>
              <w:rPr>
                <w:rFonts w:hint="eastAsia" w:ascii="Times New Roman" w:hAnsi="Times New Roman" w:eastAsia="仿宋_GB2312" w:cs="仿宋_GB2312"/>
                <w:b w:val="0"/>
                <w:bCs w:val="0"/>
                <w:snapToGrid w:val="0"/>
                <w:kern w:val="0"/>
                <w:sz w:val="24"/>
                <w:szCs w:val="24"/>
                <w:highlight w:val="none"/>
                <w:lang w:val="en-US" w:eastAsia="zh-CN" w:bidi="ar-SA"/>
              </w:rPr>
            </w:pPr>
            <w:r>
              <w:rPr>
                <w:rFonts w:hint="eastAsia" w:ascii="Times New Roman" w:hAnsi="Times New Roman" w:eastAsia="仿宋_GB2312" w:cs="仿宋_GB2312"/>
                <w:b w:val="0"/>
                <w:bCs w:val="0"/>
                <w:snapToGrid w:val="0"/>
                <w:kern w:val="0"/>
                <w:sz w:val="24"/>
                <w:szCs w:val="24"/>
                <w:highlight w:val="none"/>
                <w:lang w:val="en-US" w:eastAsia="zh-CN"/>
              </w:rPr>
              <w:t>持续增加</w:t>
            </w:r>
          </w:p>
        </w:tc>
        <w:tc>
          <w:tcPr>
            <w:tcW w:w="468" w:type="pct"/>
            <w:vAlign w:val="center"/>
          </w:tcPr>
          <w:p w14:paraId="68F08CC9">
            <w:pPr>
              <w:keepNext w:val="0"/>
              <w:keepLines w:val="0"/>
              <w:pageBreakBefore w:val="0"/>
              <w:widowControl w:val="0"/>
              <w:kinsoku/>
              <w:wordWrap/>
              <w:overflowPunct/>
              <w:topLinePunct w:val="0"/>
              <w:autoSpaceDE/>
              <w:autoSpaceDN/>
              <w:bidi w:val="0"/>
              <w:adjustRightInd w:val="0"/>
              <w:snapToGrid w:val="0"/>
              <w:spacing w:line="240" w:lineRule="auto"/>
              <w:ind w:left="0" w:firstLine="0"/>
              <w:jc w:val="center"/>
              <w:textAlignment w:val="auto"/>
              <w:rPr>
                <w:rFonts w:hint="eastAsia" w:ascii="Times New Roman" w:hAnsi="Times New Roman" w:eastAsia="仿宋_GB2312" w:cs="仿宋_GB2312"/>
                <w:b w:val="0"/>
                <w:bCs w:val="0"/>
                <w:snapToGrid w:val="0"/>
                <w:kern w:val="0"/>
                <w:sz w:val="24"/>
                <w:szCs w:val="24"/>
                <w:highlight w:val="none"/>
                <w:lang w:val="en-US" w:eastAsia="zh-CN" w:bidi="ar-SA"/>
              </w:rPr>
            </w:pPr>
            <w:r>
              <w:rPr>
                <w:rFonts w:hint="eastAsia" w:ascii="Times New Roman" w:hAnsi="Times New Roman" w:eastAsia="仿宋_GB2312" w:cs="仿宋_GB2312"/>
                <w:b w:val="0"/>
                <w:bCs w:val="0"/>
                <w:snapToGrid w:val="0"/>
                <w:kern w:val="0"/>
                <w:sz w:val="24"/>
                <w:szCs w:val="24"/>
                <w:highlight w:val="none"/>
                <w:lang w:val="en-US" w:eastAsia="zh-CN"/>
              </w:rPr>
              <w:t>市域</w:t>
            </w:r>
          </w:p>
        </w:tc>
        <w:tc>
          <w:tcPr>
            <w:tcW w:w="1040" w:type="pct"/>
            <w:vAlign w:val="center"/>
          </w:tcPr>
          <w:p w14:paraId="7D44F67E">
            <w:pPr>
              <w:keepNext w:val="0"/>
              <w:keepLines w:val="0"/>
              <w:pageBreakBefore w:val="0"/>
              <w:widowControl w:val="0"/>
              <w:kinsoku/>
              <w:wordWrap/>
              <w:overflowPunct/>
              <w:topLinePunct w:val="0"/>
              <w:autoSpaceDE/>
              <w:autoSpaceDN/>
              <w:bidi w:val="0"/>
              <w:adjustRightInd w:val="0"/>
              <w:snapToGrid w:val="0"/>
              <w:spacing w:line="240" w:lineRule="auto"/>
              <w:ind w:left="0" w:firstLine="0"/>
              <w:jc w:val="center"/>
              <w:textAlignment w:val="auto"/>
              <w:rPr>
                <w:rFonts w:hint="eastAsia" w:ascii="Times New Roman" w:hAnsi="Times New Roman" w:eastAsia="仿宋_GB2312" w:cs="仿宋_GB2312"/>
                <w:b w:val="0"/>
                <w:bCs w:val="0"/>
                <w:snapToGrid w:val="0"/>
                <w:kern w:val="0"/>
                <w:sz w:val="24"/>
                <w:szCs w:val="24"/>
                <w:highlight w:val="none"/>
                <w:lang w:val="en-US" w:eastAsia="zh-CN" w:bidi="ar-SA"/>
              </w:rPr>
            </w:pPr>
            <w:r>
              <w:rPr>
                <w:rFonts w:hint="eastAsia" w:ascii="Times New Roman" w:hAnsi="Times New Roman" w:eastAsia="仿宋_GB2312" w:cs="仿宋_GB2312"/>
                <w:b w:val="0"/>
                <w:bCs w:val="0"/>
                <w:snapToGrid w:val="0"/>
                <w:kern w:val="0"/>
                <w:sz w:val="24"/>
                <w:szCs w:val="24"/>
                <w:highlight w:val="none"/>
              </w:rPr>
              <w:t>市生态环境局</w:t>
            </w:r>
          </w:p>
        </w:tc>
      </w:tr>
      <w:tr w14:paraId="56685A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exact"/>
          <w:jc w:val="center"/>
        </w:trPr>
        <w:tc>
          <w:tcPr>
            <w:tcW w:w="261" w:type="pct"/>
            <w:vMerge w:val="continue"/>
          </w:tcPr>
          <w:p w14:paraId="5E9F0675">
            <w:pPr>
              <w:keepNext w:val="0"/>
              <w:keepLines w:val="0"/>
              <w:pageBreakBefore w:val="0"/>
              <w:widowControl w:val="0"/>
              <w:kinsoku/>
              <w:wordWrap/>
              <w:overflowPunct/>
              <w:topLinePunct w:val="0"/>
              <w:autoSpaceDE/>
              <w:autoSpaceDN/>
              <w:bidi w:val="0"/>
              <w:spacing w:line="240" w:lineRule="auto"/>
              <w:ind w:left="0" w:firstLine="0"/>
              <w:jc w:val="both"/>
              <w:textAlignment w:val="auto"/>
              <w:rPr>
                <w:rFonts w:ascii="Times New Roman" w:hAnsi="Times New Roman" w:eastAsia="仿宋_GB2312" w:cs="仿宋_GB2312"/>
                <w:b w:val="0"/>
                <w:bCs w:val="0"/>
                <w:sz w:val="24"/>
                <w:szCs w:val="24"/>
                <w:highlight w:val="none"/>
              </w:rPr>
            </w:pPr>
          </w:p>
        </w:tc>
        <w:tc>
          <w:tcPr>
            <w:tcW w:w="314" w:type="pct"/>
            <w:vAlign w:val="center"/>
          </w:tcPr>
          <w:p w14:paraId="1C3FF7F2">
            <w:pPr>
              <w:keepNext w:val="0"/>
              <w:keepLines w:val="0"/>
              <w:pageBreakBefore w:val="0"/>
              <w:widowControl w:val="0"/>
              <w:numPr>
                <w:ilvl w:val="0"/>
                <w:numId w:val="3"/>
              </w:numPr>
              <w:kinsoku/>
              <w:wordWrap/>
              <w:overflowPunct/>
              <w:topLinePunct w:val="0"/>
              <w:autoSpaceDE/>
              <w:autoSpaceDN/>
              <w:bidi w:val="0"/>
              <w:spacing w:line="240" w:lineRule="auto"/>
              <w:ind w:left="0" w:leftChars="0" w:firstLine="0" w:firstLineChars="0"/>
              <w:jc w:val="center"/>
              <w:textAlignment w:val="auto"/>
              <w:rPr>
                <w:rFonts w:ascii="Times New Roman" w:hAnsi="Times New Roman" w:eastAsia="仿宋_GB2312" w:cs="仿宋_GB2312"/>
                <w:b w:val="0"/>
                <w:bCs w:val="0"/>
                <w:kern w:val="2"/>
                <w:sz w:val="24"/>
                <w:szCs w:val="24"/>
                <w:highlight w:val="none"/>
                <w:lang w:val="en-US" w:eastAsia="zh-CN" w:bidi="ar-SA"/>
              </w:rPr>
            </w:pPr>
          </w:p>
        </w:tc>
        <w:tc>
          <w:tcPr>
            <w:tcW w:w="1557" w:type="pct"/>
            <w:vAlign w:val="center"/>
          </w:tcPr>
          <w:p w14:paraId="26878908">
            <w:pPr>
              <w:keepNext w:val="0"/>
              <w:keepLines w:val="0"/>
              <w:pageBreakBefore w:val="0"/>
              <w:widowControl w:val="0"/>
              <w:kinsoku/>
              <w:wordWrap/>
              <w:overflowPunct/>
              <w:topLinePunct w:val="0"/>
              <w:autoSpaceDE/>
              <w:autoSpaceDN/>
              <w:bidi w:val="0"/>
              <w:adjustRightInd w:val="0"/>
              <w:snapToGrid w:val="0"/>
              <w:spacing w:line="240" w:lineRule="auto"/>
              <w:ind w:left="0" w:firstLine="0"/>
              <w:jc w:val="both"/>
              <w:textAlignment w:val="auto"/>
              <w:rPr>
                <w:rFonts w:hint="eastAsia" w:ascii="Times New Roman" w:hAnsi="Times New Roman" w:eastAsia="仿宋_GB2312" w:cs="仿宋_GB2312"/>
                <w:b w:val="0"/>
                <w:bCs w:val="0"/>
                <w:snapToGrid w:val="0"/>
                <w:spacing w:val="-1"/>
                <w:kern w:val="0"/>
                <w:sz w:val="24"/>
                <w:szCs w:val="24"/>
                <w:highlight w:val="none"/>
                <w:lang w:val="en-US" w:eastAsia="zh-CN" w:bidi="ar-SA"/>
              </w:rPr>
            </w:pPr>
            <w:r>
              <w:rPr>
                <w:rFonts w:hint="eastAsia" w:ascii="Times New Roman" w:hAnsi="Times New Roman" w:eastAsia="仿宋_GB2312" w:cs="仿宋_GB2312"/>
                <w:b w:val="0"/>
                <w:bCs w:val="0"/>
                <w:snapToGrid w:val="0"/>
                <w:kern w:val="0"/>
                <w:sz w:val="24"/>
                <w:szCs w:val="24"/>
                <w:highlight w:val="none"/>
              </w:rPr>
              <w:t>公众对城市生态环境满意度（%）</w:t>
            </w:r>
          </w:p>
        </w:tc>
        <w:tc>
          <w:tcPr>
            <w:tcW w:w="1357" w:type="pct"/>
            <w:vAlign w:val="center"/>
          </w:tcPr>
          <w:p w14:paraId="23CB37A0">
            <w:pPr>
              <w:keepNext w:val="0"/>
              <w:keepLines w:val="0"/>
              <w:pageBreakBefore w:val="0"/>
              <w:widowControl w:val="0"/>
              <w:kinsoku/>
              <w:wordWrap/>
              <w:overflowPunct/>
              <w:topLinePunct w:val="0"/>
              <w:autoSpaceDE/>
              <w:autoSpaceDN/>
              <w:bidi w:val="0"/>
              <w:adjustRightInd w:val="0"/>
              <w:snapToGrid w:val="0"/>
              <w:spacing w:line="240" w:lineRule="auto"/>
              <w:ind w:left="0" w:firstLine="0"/>
              <w:jc w:val="center"/>
              <w:textAlignment w:val="auto"/>
              <w:rPr>
                <w:rFonts w:hint="eastAsia" w:ascii="Times New Roman" w:hAnsi="Times New Roman" w:eastAsia="仿宋_GB2312" w:cs="仿宋_GB2312"/>
                <w:b w:val="0"/>
                <w:bCs w:val="0"/>
                <w:snapToGrid w:val="0"/>
                <w:kern w:val="0"/>
                <w:sz w:val="24"/>
                <w:szCs w:val="24"/>
                <w:highlight w:val="none"/>
                <w:lang w:val="en-US" w:eastAsia="zh-CN" w:bidi="ar-SA"/>
              </w:rPr>
            </w:pPr>
            <w:r>
              <w:rPr>
                <w:rFonts w:hint="eastAsia" w:ascii="Times New Roman" w:hAnsi="Times New Roman" w:eastAsia="仿宋_GB2312" w:cs="仿宋_GB2312"/>
                <w:b w:val="0"/>
                <w:bCs w:val="0"/>
                <w:snapToGrid w:val="0"/>
                <w:kern w:val="0"/>
                <w:sz w:val="24"/>
                <w:szCs w:val="24"/>
                <w:highlight w:val="none"/>
                <w:lang w:val="en-US" w:eastAsia="zh-CN"/>
              </w:rPr>
              <w:t>90</w:t>
            </w:r>
          </w:p>
        </w:tc>
        <w:tc>
          <w:tcPr>
            <w:tcW w:w="468" w:type="pct"/>
            <w:vAlign w:val="center"/>
          </w:tcPr>
          <w:p w14:paraId="5ABDD043">
            <w:pPr>
              <w:keepNext w:val="0"/>
              <w:keepLines w:val="0"/>
              <w:pageBreakBefore w:val="0"/>
              <w:widowControl w:val="0"/>
              <w:kinsoku/>
              <w:wordWrap/>
              <w:overflowPunct/>
              <w:topLinePunct w:val="0"/>
              <w:autoSpaceDE/>
              <w:autoSpaceDN/>
              <w:bidi w:val="0"/>
              <w:adjustRightInd w:val="0"/>
              <w:snapToGrid w:val="0"/>
              <w:spacing w:line="240" w:lineRule="auto"/>
              <w:ind w:left="0" w:firstLine="0"/>
              <w:jc w:val="center"/>
              <w:textAlignment w:val="auto"/>
              <w:rPr>
                <w:rFonts w:hint="eastAsia" w:ascii="Times New Roman" w:hAnsi="Times New Roman" w:eastAsia="仿宋_GB2312" w:cs="仿宋_GB2312"/>
                <w:b w:val="0"/>
                <w:bCs w:val="0"/>
                <w:snapToGrid w:val="0"/>
                <w:kern w:val="0"/>
                <w:sz w:val="24"/>
                <w:szCs w:val="24"/>
                <w:highlight w:val="none"/>
                <w:lang w:val="en-US" w:eastAsia="zh-CN" w:bidi="ar-SA"/>
              </w:rPr>
            </w:pPr>
            <w:r>
              <w:rPr>
                <w:rFonts w:hint="eastAsia" w:ascii="Times New Roman" w:hAnsi="Times New Roman" w:eastAsia="仿宋_GB2312" w:cs="仿宋_GB2312"/>
                <w:b w:val="0"/>
                <w:bCs w:val="0"/>
                <w:snapToGrid w:val="0"/>
                <w:kern w:val="0"/>
                <w:sz w:val="24"/>
                <w:szCs w:val="24"/>
                <w:highlight w:val="none"/>
                <w:lang w:val="en-US" w:eastAsia="zh-CN"/>
              </w:rPr>
              <w:t>城区</w:t>
            </w:r>
          </w:p>
        </w:tc>
        <w:tc>
          <w:tcPr>
            <w:tcW w:w="1040" w:type="pct"/>
            <w:vAlign w:val="center"/>
          </w:tcPr>
          <w:p w14:paraId="295D6FDB">
            <w:pPr>
              <w:keepNext w:val="0"/>
              <w:keepLines w:val="0"/>
              <w:pageBreakBefore w:val="0"/>
              <w:widowControl w:val="0"/>
              <w:kinsoku/>
              <w:wordWrap/>
              <w:overflowPunct/>
              <w:topLinePunct w:val="0"/>
              <w:autoSpaceDE/>
              <w:autoSpaceDN/>
              <w:bidi w:val="0"/>
              <w:adjustRightInd w:val="0"/>
              <w:snapToGrid w:val="0"/>
              <w:spacing w:line="240" w:lineRule="auto"/>
              <w:ind w:left="0" w:firstLine="0"/>
              <w:jc w:val="center"/>
              <w:textAlignment w:val="auto"/>
              <w:rPr>
                <w:rFonts w:hint="eastAsia" w:ascii="Times New Roman" w:hAnsi="Times New Roman" w:eastAsia="仿宋_GB2312" w:cs="仿宋_GB2312"/>
                <w:b w:val="0"/>
                <w:bCs w:val="0"/>
                <w:snapToGrid w:val="0"/>
                <w:kern w:val="0"/>
                <w:sz w:val="24"/>
                <w:szCs w:val="24"/>
                <w:highlight w:val="none"/>
                <w:lang w:val="en-US" w:eastAsia="zh-CN" w:bidi="ar-SA"/>
              </w:rPr>
            </w:pPr>
            <w:r>
              <w:rPr>
                <w:rFonts w:hint="eastAsia" w:ascii="Times New Roman" w:hAnsi="Times New Roman" w:eastAsia="仿宋_GB2312" w:cs="仿宋_GB2312"/>
                <w:b w:val="0"/>
                <w:bCs w:val="0"/>
                <w:snapToGrid w:val="0"/>
                <w:kern w:val="0"/>
                <w:sz w:val="24"/>
                <w:szCs w:val="24"/>
                <w:highlight w:val="none"/>
              </w:rPr>
              <w:t>市生态环境局</w:t>
            </w:r>
          </w:p>
        </w:tc>
      </w:tr>
    </w:tbl>
    <w:p w14:paraId="2FC53442">
      <w:pPr>
        <w:adjustRightInd w:val="0"/>
        <w:snapToGrid w:val="0"/>
        <w:jc w:val="both"/>
        <w:rPr>
          <w:rFonts w:hint="default" w:ascii="Times New Roman" w:hAnsi="Times New Roman" w:eastAsia="仿宋_GB2312" w:cs="仿宋_GB2312"/>
          <w:b w:val="0"/>
          <w:bCs w:val="0"/>
          <w:snapToGrid w:val="0"/>
          <w:kern w:val="0"/>
          <w:sz w:val="24"/>
          <w:szCs w:val="24"/>
          <w:highlight w:val="none"/>
          <w:lang w:val="en-US" w:eastAsia="zh-CN"/>
        </w:rPr>
      </w:pPr>
      <w:r>
        <w:rPr>
          <w:rFonts w:hint="eastAsia" w:ascii="Times New Roman" w:hAnsi="Times New Roman" w:eastAsia="仿宋_GB2312" w:cs="仿宋_GB2312"/>
          <w:b w:val="0"/>
          <w:bCs w:val="0"/>
          <w:snapToGrid w:val="0"/>
          <w:kern w:val="0"/>
          <w:sz w:val="24"/>
          <w:szCs w:val="24"/>
          <w:highlight w:val="none"/>
          <w:lang w:val="en-US" w:eastAsia="zh-CN"/>
        </w:rPr>
        <w:t>注：1.*为我市新增特色指标。2.《湖北省美丽城市建设工作方案》设定加分项、扣分项和否决项。（1）加分项为建设期内获得“绿水青山就是金山银山”实践创新基地、生态文明建设示范区、低碳城市、气候适应型城市、公交都市、绿色货运配送示范城市、文明城市等国家级称号或试点的。（2）扣分项为</w:t>
      </w:r>
      <w:r>
        <w:rPr>
          <w:rFonts w:hint="default" w:ascii="Times New Roman" w:hAnsi="Times New Roman" w:eastAsia="仿宋_GB2312" w:cs="仿宋_GB2312"/>
          <w:b w:val="0"/>
          <w:bCs w:val="0"/>
          <w:snapToGrid w:val="0"/>
          <w:kern w:val="0"/>
          <w:sz w:val="24"/>
          <w:szCs w:val="24"/>
          <w:highlight w:val="none"/>
          <w:lang w:val="en-US" w:eastAsia="zh-CN"/>
        </w:rPr>
        <w:t>近三年因生态环境问题或环境违法事件被生态环境部及相关部门约谈、挂牌督办，且未经约谈或挂牌督办部门验收销号的；近三年被列入中央生态环境保护督察典型案例，且未通过省级验收销号的；近三年在中央巡视、中央和省级生态环境保护督察中存在重大问题，且未按计划完成整改任务的。</w:t>
      </w:r>
      <w:r>
        <w:rPr>
          <w:rFonts w:hint="eastAsia" w:ascii="Times New Roman" w:hAnsi="Times New Roman" w:eastAsia="仿宋_GB2312" w:cs="仿宋_GB2312"/>
          <w:b w:val="0"/>
          <w:bCs w:val="0"/>
          <w:snapToGrid w:val="0"/>
          <w:kern w:val="0"/>
          <w:sz w:val="24"/>
          <w:szCs w:val="24"/>
          <w:highlight w:val="none"/>
          <w:lang w:val="en-US" w:eastAsia="zh-CN"/>
        </w:rPr>
        <w:t>（3）否决项为</w:t>
      </w:r>
      <w:r>
        <w:rPr>
          <w:rFonts w:hint="default" w:ascii="Times New Roman" w:hAnsi="Times New Roman" w:eastAsia="仿宋_GB2312" w:cs="仿宋_GB2312"/>
          <w:b w:val="0"/>
          <w:bCs w:val="0"/>
          <w:snapToGrid w:val="0"/>
          <w:kern w:val="0"/>
          <w:sz w:val="24"/>
          <w:szCs w:val="24"/>
          <w:highlight w:val="none"/>
          <w:lang w:val="en-US" w:eastAsia="zh-CN"/>
        </w:rPr>
        <w:t>近三年发生较大及以上环境污染事件或重大生态破坏事件的。</w:t>
      </w:r>
    </w:p>
    <w:p w14:paraId="3DEACAF7">
      <w:pPr>
        <w:jc w:val="both"/>
        <w:rPr>
          <w:rFonts w:hint="default" w:ascii="Times New Roman" w:hAnsi="Times New Roman" w:eastAsia="宋体" w:cs="Times New Roman"/>
          <w:b w:val="0"/>
          <w:bCs w:val="0"/>
          <w:highlight w:val="none"/>
          <w:lang w:val="en-US" w:eastAsia="zh-CN"/>
        </w:rPr>
      </w:pPr>
      <w:r>
        <w:rPr>
          <w:rFonts w:hint="default" w:ascii="Times New Roman" w:hAnsi="Times New Roman" w:eastAsia="宋体" w:cs="Times New Roman"/>
          <w:b w:val="0"/>
          <w:bCs w:val="0"/>
          <w:highlight w:val="none"/>
          <w:lang w:val="en-US" w:eastAsia="zh-CN"/>
        </w:rPr>
        <w:br w:type="page"/>
      </w:r>
      <w:r>
        <w:rPr>
          <w:rFonts w:hint="eastAsia" w:ascii="Times New Roman" w:hAnsi="Times New Roman" w:eastAsia="黑体" w:cs="黑体"/>
          <w:b w:val="0"/>
          <w:bCs w:val="0"/>
          <w:sz w:val="32"/>
          <w:szCs w:val="32"/>
          <w:highlight w:val="none"/>
        </w:rPr>
        <w:t>附</w:t>
      </w:r>
      <w:r>
        <w:rPr>
          <w:rFonts w:hint="eastAsia" w:ascii="Times New Roman" w:hAnsi="Times New Roman" w:eastAsia="黑体" w:cs="黑体"/>
          <w:b w:val="0"/>
          <w:bCs w:val="0"/>
          <w:sz w:val="32"/>
          <w:szCs w:val="32"/>
          <w:highlight w:val="none"/>
          <w:lang w:val="en-US" w:eastAsia="zh-CN"/>
        </w:rPr>
        <w:t>2</w:t>
      </w:r>
    </w:p>
    <w:p w14:paraId="3B1524D6">
      <w:pPr>
        <w:widowControl w:val="0"/>
        <w:kinsoku/>
        <w:autoSpaceDE/>
        <w:autoSpaceDN/>
        <w:adjustRightInd w:val="0"/>
        <w:snapToGrid/>
        <w:spacing w:before="219" w:beforeLines="50" w:after="219" w:afterLines="50" w:line="600" w:lineRule="exact"/>
        <w:ind w:firstLine="0" w:firstLineChars="0"/>
        <w:jc w:val="center"/>
        <w:textAlignment w:val="auto"/>
        <w:rPr>
          <w:rFonts w:ascii="Times New Roman" w:hAnsi="Times New Roman" w:eastAsia="方正小标宋简体" w:cs="方正小标宋_GBK"/>
          <w:snapToGrid/>
          <w:color w:val="000000"/>
          <w:kern w:val="2"/>
          <w:sz w:val="44"/>
          <w:szCs w:val="44"/>
          <w:highlight w:val="none"/>
          <w:lang w:eastAsia="zh-CN"/>
        </w:rPr>
      </w:pPr>
      <w:r>
        <w:rPr>
          <w:rFonts w:hint="eastAsia" w:ascii="Times New Roman" w:hAnsi="Times New Roman" w:eastAsia="方正小标宋简体" w:cs="方正小标宋_GBK"/>
          <w:snapToGrid/>
          <w:color w:val="000000"/>
          <w:kern w:val="2"/>
          <w:sz w:val="44"/>
          <w:szCs w:val="44"/>
          <w:highlight w:val="none"/>
          <w:lang w:eastAsia="zh-CN"/>
        </w:rPr>
        <w:t>美丽城市建设指标解释及计算方法</w:t>
      </w:r>
    </w:p>
    <w:tbl>
      <w:tblPr>
        <w:tblStyle w:val="12"/>
        <w:tblW w:w="504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1406"/>
        <w:gridCol w:w="828"/>
        <w:gridCol w:w="2525"/>
        <w:gridCol w:w="7546"/>
        <w:gridCol w:w="1775"/>
      </w:tblGrid>
      <w:tr w14:paraId="480C84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Header/>
          <w:jc w:val="center"/>
        </w:trPr>
        <w:tc>
          <w:tcPr>
            <w:tcW w:w="499" w:type="pct"/>
            <w:tcBorders>
              <w:top w:val="single" w:color="auto" w:sz="4" w:space="0"/>
              <w:left w:val="single" w:color="auto" w:sz="4" w:space="0"/>
              <w:bottom w:val="single" w:color="auto" w:sz="4" w:space="0"/>
              <w:right w:val="single" w:color="auto" w:sz="4" w:space="0"/>
            </w:tcBorders>
            <w:vAlign w:val="center"/>
          </w:tcPr>
          <w:p w14:paraId="65687234">
            <w:pPr>
              <w:widowControl/>
              <w:kinsoku w:val="0"/>
              <w:autoSpaceDE w:val="0"/>
              <w:autoSpaceDN w:val="0"/>
              <w:adjustRightInd w:val="0"/>
              <w:snapToGrid w:val="0"/>
              <w:spacing w:before="43" w:beforeLines="10" w:after="43" w:afterLines="10" w:line="300" w:lineRule="atLeast"/>
              <w:ind w:firstLine="0" w:firstLineChars="0"/>
              <w:jc w:val="center"/>
              <w:textAlignment w:val="baseline"/>
              <w:rPr>
                <w:rFonts w:ascii="Times New Roman" w:hAnsi="Times New Roman" w:eastAsia="仿宋_GB2312" w:cs="黑体"/>
                <w:b/>
                <w:bCs/>
                <w:snapToGrid w:val="0"/>
                <w:color w:val="000000"/>
                <w:kern w:val="0"/>
                <w:sz w:val="24"/>
                <w:szCs w:val="24"/>
                <w:highlight w:val="none"/>
                <w:lang w:eastAsia="zh-CN"/>
              </w:rPr>
            </w:pPr>
            <w:r>
              <w:rPr>
                <w:rFonts w:hint="eastAsia" w:ascii="Times New Roman" w:hAnsi="Times New Roman" w:eastAsia="仿宋_GB2312" w:cs="黑体"/>
                <w:b/>
                <w:bCs/>
                <w:snapToGrid w:val="0"/>
                <w:color w:val="000000"/>
                <w:kern w:val="0"/>
                <w:sz w:val="24"/>
                <w:szCs w:val="24"/>
                <w:highlight w:val="none"/>
                <w:lang w:eastAsia="zh-CN"/>
              </w:rPr>
              <w:t>维度</w:t>
            </w:r>
          </w:p>
        </w:tc>
        <w:tc>
          <w:tcPr>
            <w:tcW w:w="294" w:type="pct"/>
            <w:tcBorders>
              <w:top w:val="single" w:color="auto" w:sz="4" w:space="0"/>
              <w:left w:val="single" w:color="auto" w:sz="4" w:space="0"/>
              <w:bottom w:val="single" w:color="auto" w:sz="4" w:space="0"/>
              <w:right w:val="single" w:color="auto" w:sz="4" w:space="0"/>
            </w:tcBorders>
            <w:vAlign w:val="center"/>
          </w:tcPr>
          <w:p w14:paraId="21E6D385">
            <w:pPr>
              <w:widowControl/>
              <w:kinsoku w:val="0"/>
              <w:autoSpaceDE w:val="0"/>
              <w:autoSpaceDN w:val="0"/>
              <w:adjustRightInd w:val="0"/>
              <w:snapToGrid w:val="0"/>
              <w:spacing w:before="43" w:beforeLines="10" w:after="43" w:afterLines="10" w:line="300" w:lineRule="atLeast"/>
              <w:ind w:firstLine="0" w:firstLineChars="0"/>
              <w:jc w:val="center"/>
              <w:textAlignment w:val="baseline"/>
              <w:rPr>
                <w:rFonts w:ascii="Times New Roman" w:hAnsi="Times New Roman" w:eastAsia="仿宋_GB2312" w:cs="黑体"/>
                <w:b/>
                <w:bCs/>
                <w:snapToGrid w:val="0"/>
                <w:color w:val="000000"/>
                <w:kern w:val="0"/>
                <w:sz w:val="24"/>
                <w:szCs w:val="24"/>
                <w:highlight w:val="none"/>
                <w:lang w:eastAsia="zh-CN"/>
              </w:rPr>
            </w:pPr>
            <w:r>
              <w:rPr>
                <w:rFonts w:hint="eastAsia" w:ascii="Times New Roman" w:hAnsi="Times New Roman" w:eastAsia="仿宋_GB2312" w:cs="黑体"/>
                <w:b/>
                <w:bCs/>
                <w:snapToGrid w:val="0"/>
                <w:color w:val="000000"/>
                <w:spacing w:val="-3"/>
                <w:kern w:val="0"/>
                <w:sz w:val="24"/>
                <w:szCs w:val="24"/>
                <w:highlight w:val="none"/>
                <w:lang w:eastAsia="en-US"/>
              </w:rPr>
              <w:t>序号</w:t>
            </w:r>
          </w:p>
        </w:tc>
        <w:tc>
          <w:tcPr>
            <w:tcW w:w="896" w:type="pct"/>
            <w:tcBorders>
              <w:top w:val="single" w:color="auto" w:sz="4" w:space="0"/>
              <w:left w:val="single" w:color="auto" w:sz="4" w:space="0"/>
              <w:bottom w:val="single" w:color="auto" w:sz="4" w:space="0"/>
              <w:right w:val="single" w:color="auto" w:sz="4" w:space="0"/>
            </w:tcBorders>
            <w:vAlign w:val="center"/>
          </w:tcPr>
          <w:p w14:paraId="109FC1D6">
            <w:pPr>
              <w:widowControl/>
              <w:kinsoku w:val="0"/>
              <w:autoSpaceDE w:val="0"/>
              <w:autoSpaceDN w:val="0"/>
              <w:adjustRightInd w:val="0"/>
              <w:snapToGrid w:val="0"/>
              <w:spacing w:before="43" w:beforeLines="10" w:after="43" w:afterLines="10" w:line="300" w:lineRule="atLeast"/>
              <w:ind w:firstLine="0" w:firstLineChars="0"/>
              <w:jc w:val="center"/>
              <w:textAlignment w:val="baseline"/>
              <w:rPr>
                <w:rFonts w:ascii="Times New Roman" w:hAnsi="Times New Roman" w:eastAsia="仿宋_GB2312" w:cs="黑体"/>
                <w:b/>
                <w:bCs/>
                <w:snapToGrid w:val="0"/>
                <w:color w:val="000000"/>
                <w:spacing w:val="-8"/>
                <w:kern w:val="0"/>
                <w:sz w:val="24"/>
                <w:szCs w:val="24"/>
                <w:highlight w:val="none"/>
                <w:lang w:eastAsia="zh-CN"/>
              </w:rPr>
            </w:pPr>
            <w:r>
              <w:rPr>
                <w:rFonts w:hint="eastAsia" w:ascii="Times New Roman" w:hAnsi="Times New Roman" w:eastAsia="仿宋_GB2312" w:cs="黑体"/>
                <w:b/>
                <w:bCs/>
                <w:snapToGrid w:val="0"/>
                <w:color w:val="000000"/>
                <w:spacing w:val="-8"/>
                <w:kern w:val="0"/>
                <w:sz w:val="24"/>
                <w:szCs w:val="24"/>
                <w:highlight w:val="none"/>
                <w:lang w:eastAsia="zh-CN"/>
              </w:rPr>
              <w:t>指标</w:t>
            </w:r>
          </w:p>
        </w:tc>
        <w:tc>
          <w:tcPr>
            <w:tcW w:w="2678" w:type="pct"/>
            <w:tcBorders>
              <w:top w:val="single" w:color="auto" w:sz="4" w:space="0"/>
              <w:left w:val="single" w:color="auto" w:sz="4" w:space="0"/>
              <w:bottom w:val="single" w:color="auto" w:sz="4" w:space="0"/>
              <w:right w:val="single" w:color="auto" w:sz="4" w:space="0"/>
            </w:tcBorders>
            <w:vAlign w:val="center"/>
          </w:tcPr>
          <w:p w14:paraId="0C7B1C4E">
            <w:pPr>
              <w:widowControl/>
              <w:kinsoku w:val="0"/>
              <w:autoSpaceDE w:val="0"/>
              <w:autoSpaceDN w:val="0"/>
              <w:adjustRightInd w:val="0"/>
              <w:snapToGrid w:val="0"/>
              <w:spacing w:before="43" w:beforeLines="10" w:after="43" w:afterLines="10" w:line="300" w:lineRule="atLeast"/>
              <w:ind w:firstLine="0" w:firstLineChars="0"/>
              <w:jc w:val="center"/>
              <w:textAlignment w:val="baseline"/>
              <w:rPr>
                <w:rFonts w:ascii="Times New Roman" w:hAnsi="Times New Roman" w:eastAsia="仿宋_GB2312" w:cs="黑体"/>
                <w:b/>
                <w:bCs/>
                <w:snapToGrid w:val="0"/>
                <w:color w:val="000000"/>
                <w:spacing w:val="-8"/>
                <w:kern w:val="0"/>
                <w:sz w:val="24"/>
                <w:szCs w:val="24"/>
                <w:highlight w:val="none"/>
                <w:lang w:eastAsia="zh-CN"/>
              </w:rPr>
            </w:pPr>
            <w:r>
              <w:rPr>
                <w:rFonts w:hint="eastAsia" w:ascii="Times New Roman" w:hAnsi="Times New Roman" w:eastAsia="仿宋_GB2312" w:cs="黑体"/>
                <w:b/>
                <w:bCs/>
                <w:snapToGrid w:val="0"/>
                <w:color w:val="000000"/>
                <w:spacing w:val="-6"/>
                <w:kern w:val="0"/>
                <w:sz w:val="24"/>
                <w:szCs w:val="24"/>
                <w:highlight w:val="none"/>
                <w:lang w:eastAsia="zh-CN"/>
              </w:rPr>
              <w:t>指标解释及计算方法</w:t>
            </w:r>
          </w:p>
        </w:tc>
        <w:tc>
          <w:tcPr>
            <w:tcW w:w="630" w:type="pct"/>
            <w:tcBorders>
              <w:top w:val="single" w:color="auto" w:sz="4" w:space="0"/>
              <w:left w:val="single" w:color="auto" w:sz="4" w:space="0"/>
              <w:bottom w:val="single" w:color="auto" w:sz="4" w:space="0"/>
              <w:right w:val="single" w:color="auto" w:sz="4" w:space="0"/>
            </w:tcBorders>
            <w:vAlign w:val="center"/>
          </w:tcPr>
          <w:p w14:paraId="57F424F9">
            <w:pPr>
              <w:widowControl/>
              <w:kinsoku w:val="0"/>
              <w:autoSpaceDE w:val="0"/>
              <w:autoSpaceDN w:val="0"/>
              <w:adjustRightInd w:val="0"/>
              <w:snapToGrid w:val="0"/>
              <w:spacing w:before="43" w:beforeLines="10" w:after="43" w:afterLines="10" w:line="300" w:lineRule="atLeast"/>
              <w:ind w:firstLine="0" w:firstLineChars="0"/>
              <w:jc w:val="center"/>
              <w:textAlignment w:val="baseline"/>
              <w:rPr>
                <w:rFonts w:ascii="Times New Roman" w:hAnsi="Times New Roman" w:eastAsia="仿宋_GB2312" w:cs="黑体"/>
                <w:b/>
                <w:bCs/>
                <w:snapToGrid w:val="0"/>
                <w:color w:val="000000"/>
                <w:spacing w:val="-8"/>
                <w:kern w:val="0"/>
                <w:sz w:val="24"/>
                <w:szCs w:val="24"/>
                <w:highlight w:val="none"/>
                <w:lang w:eastAsia="zh-CN"/>
              </w:rPr>
            </w:pPr>
            <w:r>
              <w:rPr>
                <w:rFonts w:hint="eastAsia" w:ascii="Times New Roman" w:hAnsi="Times New Roman" w:eastAsia="仿宋_GB2312" w:cs="黑体"/>
                <w:b/>
                <w:bCs/>
                <w:snapToGrid w:val="0"/>
                <w:color w:val="000000"/>
                <w:spacing w:val="-6"/>
                <w:kern w:val="0"/>
                <w:sz w:val="24"/>
                <w:szCs w:val="24"/>
                <w:highlight w:val="none"/>
                <w:lang w:eastAsia="zh-CN"/>
              </w:rPr>
              <w:t>适用范围</w:t>
            </w:r>
          </w:p>
        </w:tc>
      </w:tr>
      <w:tr w14:paraId="12BF65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499" w:type="pct"/>
            <w:vMerge w:val="restart"/>
            <w:tcBorders>
              <w:top w:val="single" w:color="auto" w:sz="4" w:space="0"/>
              <w:left w:val="single" w:color="auto" w:sz="4" w:space="0"/>
              <w:right w:val="single" w:color="auto" w:sz="4" w:space="0"/>
            </w:tcBorders>
            <w:vAlign w:val="center"/>
          </w:tcPr>
          <w:p w14:paraId="77D36F4F">
            <w:pPr>
              <w:widowControl w:val="0"/>
              <w:kinsoku/>
              <w:autoSpaceDE/>
              <w:autoSpaceDN/>
              <w:adjustRightInd w:val="0"/>
              <w:snapToGrid w:val="0"/>
              <w:spacing w:before="43" w:beforeLines="10" w:after="43" w:afterLines="10" w:line="300" w:lineRule="atLeast"/>
              <w:ind w:firstLine="0" w:firstLineChars="0"/>
              <w:jc w:val="center"/>
              <w:textAlignment w:val="auto"/>
              <w:rPr>
                <w:rFonts w:ascii="Times New Roman" w:hAnsi="Times New Roman" w:eastAsia="仿宋_GB2312" w:cs="黑体"/>
                <w:snapToGrid w:val="0"/>
                <w:color w:val="000000"/>
                <w:kern w:val="0"/>
                <w:sz w:val="24"/>
                <w:szCs w:val="24"/>
                <w:highlight w:val="none"/>
                <w:lang w:eastAsia="en-US"/>
              </w:rPr>
            </w:pPr>
            <w:r>
              <w:rPr>
                <w:rFonts w:hint="eastAsia" w:ascii="Times New Roman" w:hAnsi="Times New Roman" w:eastAsia="仿宋_GB2312" w:cs="黑体"/>
                <w:snapToGrid w:val="0"/>
                <w:color w:val="000000"/>
                <w:kern w:val="0"/>
                <w:sz w:val="24"/>
                <w:szCs w:val="24"/>
                <w:highlight w:val="none"/>
                <w:lang w:eastAsia="zh-CN"/>
              </w:rPr>
              <w:t>绿色低碳</w:t>
            </w:r>
          </w:p>
        </w:tc>
        <w:tc>
          <w:tcPr>
            <w:tcW w:w="294" w:type="pct"/>
            <w:tcBorders>
              <w:top w:val="single" w:color="auto" w:sz="4" w:space="0"/>
              <w:left w:val="single" w:color="auto" w:sz="4" w:space="0"/>
              <w:bottom w:val="single" w:color="auto" w:sz="4" w:space="0"/>
              <w:right w:val="single" w:color="auto" w:sz="4" w:space="0"/>
            </w:tcBorders>
            <w:vAlign w:val="center"/>
          </w:tcPr>
          <w:p w14:paraId="32BB5C4F">
            <w:pPr>
              <w:keepNext w:val="0"/>
              <w:keepLines w:val="0"/>
              <w:pageBreakBefore w:val="0"/>
              <w:widowControl w:val="0"/>
              <w:numPr>
                <w:ilvl w:val="0"/>
                <w:numId w:val="4"/>
              </w:numPr>
              <w:tabs>
                <w:tab w:val="left" w:pos="312"/>
              </w:tabs>
              <w:kinsoku/>
              <w:wordWrap/>
              <w:overflowPunct/>
              <w:topLinePunct w:val="0"/>
              <w:autoSpaceDE/>
              <w:autoSpaceDN/>
              <w:bidi w:val="0"/>
              <w:adjustRightInd w:val="0"/>
              <w:snapToGrid w:val="0"/>
              <w:spacing w:before="43" w:beforeLines="10" w:after="43" w:afterLines="10" w:line="300" w:lineRule="atLeast"/>
              <w:ind w:firstLine="0" w:firstLineChars="0"/>
              <w:jc w:val="center"/>
              <w:textAlignment w:val="auto"/>
              <w:rPr>
                <w:rFonts w:ascii="Times New Roman" w:hAnsi="Times New Roman" w:eastAsia="仿宋_GB2312" w:cs="黑体"/>
                <w:snapToGrid w:val="0"/>
                <w:color w:val="000000"/>
                <w:kern w:val="2"/>
                <w:sz w:val="24"/>
                <w:szCs w:val="24"/>
                <w:highlight w:val="none"/>
                <w:lang w:eastAsia="en-US"/>
              </w:rPr>
            </w:pPr>
          </w:p>
        </w:tc>
        <w:tc>
          <w:tcPr>
            <w:tcW w:w="896" w:type="pct"/>
            <w:tcBorders>
              <w:top w:val="single" w:color="auto" w:sz="4" w:space="0"/>
              <w:left w:val="single" w:color="auto" w:sz="4" w:space="0"/>
              <w:bottom w:val="single" w:color="auto" w:sz="4" w:space="0"/>
              <w:right w:val="single" w:color="auto" w:sz="4" w:space="0"/>
            </w:tcBorders>
            <w:vAlign w:val="center"/>
          </w:tcPr>
          <w:p w14:paraId="723D3B8D">
            <w:pPr>
              <w:widowControl w:val="0"/>
              <w:kinsoku/>
              <w:autoSpaceDE/>
              <w:autoSpaceDN/>
              <w:adjustRightInd w:val="0"/>
              <w:snapToGrid w:val="0"/>
              <w:spacing w:before="43" w:beforeLines="10" w:after="43" w:afterLines="10" w:line="300" w:lineRule="atLeast"/>
              <w:ind w:firstLine="0" w:firstLineChars="0"/>
              <w:jc w:val="center"/>
              <w:textAlignment w:val="auto"/>
              <w:rPr>
                <w:rFonts w:ascii="Times New Roman" w:hAnsi="Times New Roman" w:eastAsia="仿宋_GB2312" w:cs="黑体"/>
                <w:snapToGrid w:val="0"/>
                <w:color w:val="000000"/>
                <w:kern w:val="0"/>
                <w:sz w:val="24"/>
                <w:szCs w:val="24"/>
                <w:highlight w:val="none"/>
                <w:lang w:eastAsia="zh-CN"/>
              </w:rPr>
            </w:pPr>
            <w:r>
              <w:rPr>
                <w:rFonts w:hint="eastAsia" w:ascii="Times New Roman" w:hAnsi="Times New Roman" w:eastAsia="仿宋_GB2312" w:cs="黑体"/>
                <w:snapToGrid w:val="0"/>
                <w:color w:val="000000"/>
                <w:kern w:val="0"/>
                <w:sz w:val="24"/>
                <w:szCs w:val="24"/>
                <w:highlight w:val="none"/>
                <w:lang w:eastAsia="zh-CN"/>
              </w:rPr>
              <w:t>单位地区生产总值二氧化碳排放降低（%）</w:t>
            </w:r>
          </w:p>
        </w:tc>
        <w:tc>
          <w:tcPr>
            <w:tcW w:w="2678" w:type="pct"/>
            <w:tcBorders>
              <w:top w:val="single" w:color="auto" w:sz="4" w:space="0"/>
              <w:left w:val="single" w:color="auto" w:sz="4" w:space="0"/>
              <w:bottom w:val="single" w:color="auto" w:sz="4" w:space="0"/>
              <w:right w:val="single" w:color="auto" w:sz="4" w:space="0"/>
            </w:tcBorders>
            <w:vAlign w:val="center"/>
          </w:tcPr>
          <w:p w14:paraId="125483B6">
            <w:pPr>
              <w:widowControl w:val="0"/>
              <w:kinsoku/>
              <w:autoSpaceDE/>
              <w:autoSpaceDN/>
              <w:adjustRightInd w:val="0"/>
              <w:snapToGrid w:val="0"/>
              <w:spacing w:before="43" w:beforeLines="10" w:after="43" w:afterLines="10" w:line="300" w:lineRule="atLeast"/>
              <w:ind w:firstLine="0" w:firstLineChars="0"/>
              <w:textAlignment w:val="auto"/>
              <w:rPr>
                <w:rFonts w:ascii="Times New Roman" w:hAnsi="Times New Roman" w:eastAsia="仿宋_GB2312" w:cs="黑体"/>
                <w:snapToGrid w:val="0"/>
                <w:color w:val="000000"/>
                <w:kern w:val="0"/>
                <w:sz w:val="24"/>
                <w:szCs w:val="24"/>
                <w:highlight w:val="none"/>
                <w:lang w:eastAsia="zh-CN"/>
              </w:rPr>
            </w:pPr>
            <w:r>
              <w:rPr>
                <w:rFonts w:hint="eastAsia" w:ascii="Times New Roman" w:hAnsi="Times New Roman" w:eastAsia="仿宋_GB2312" w:cs="黑体"/>
                <w:snapToGrid w:val="0"/>
                <w:color w:val="000000"/>
                <w:kern w:val="0"/>
                <w:sz w:val="24"/>
                <w:szCs w:val="24"/>
                <w:highlight w:val="none"/>
                <w:lang w:eastAsia="zh-CN"/>
              </w:rPr>
              <w:t>单位地区生产总值二氧化碳排放量下降幅度。</w:t>
            </w:r>
          </w:p>
        </w:tc>
        <w:tc>
          <w:tcPr>
            <w:tcW w:w="630" w:type="pct"/>
            <w:tcBorders>
              <w:top w:val="single" w:color="auto" w:sz="4" w:space="0"/>
              <w:left w:val="single" w:color="auto" w:sz="4" w:space="0"/>
              <w:bottom w:val="single" w:color="auto" w:sz="4" w:space="0"/>
              <w:right w:val="single" w:color="auto" w:sz="4" w:space="0"/>
            </w:tcBorders>
            <w:vAlign w:val="center"/>
          </w:tcPr>
          <w:p w14:paraId="6E1895C5">
            <w:pPr>
              <w:widowControl w:val="0"/>
              <w:kinsoku/>
              <w:autoSpaceDE/>
              <w:autoSpaceDN/>
              <w:adjustRightInd w:val="0"/>
              <w:snapToGrid w:val="0"/>
              <w:spacing w:before="43" w:beforeLines="10" w:after="43" w:afterLines="10" w:line="300" w:lineRule="atLeast"/>
              <w:ind w:firstLine="0" w:firstLineChars="0"/>
              <w:jc w:val="center"/>
              <w:textAlignment w:val="auto"/>
              <w:rPr>
                <w:rFonts w:hint="eastAsia" w:ascii="Times New Roman" w:hAnsi="Times New Roman" w:eastAsia="仿宋_GB2312" w:cs="黑体"/>
                <w:snapToGrid w:val="0"/>
                <w:color w:val="000000"/>
                <w:kern w:val="2"/>
                <w:sz w:val="24"/>
                <w:szCs w:val="24"/>
                <w:highlight w:val="none"/>
                <w:lang w:eastAsia="zh-CN"/>
              </w:rPr>
            </w:pPr>
            <w:r>
              <w:rPr>
                <w:rFonts w:hint="eastAsia" w:ascii="Times New Roman" w:hAnsi="Times New Roman" w:eastAsia="仿宋_GB2312" w:cs="黑体"/>
                <w:snapToGrid w:val="0"/>
                <w:color w:val="000000"/>
                <w:kern w:val="0"/>
                <w:sz w:val="24"/>
                <w:szCs w:val="24"/>
                <w:highlight w:val="none"/>
                <w:lang w:eastAsia="en-US"/>
              </w:rPr>
              <w:t>市域</w:t>
            </w:r>
          </w:p>
        </w:tc>
      </w:tr>
      <w:tr w14:paraId="07ED5D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499" w:type="pct"/>
            <w:vMerge w:val="continue"/>
            <w:tcBorders>
              <w:left w:val="single" w:color="auto" w:sz="4" w:space="0"/>
              <w:right w:val="single" w:color="auto" w:sz="4" w:space="0"/>
            </w:tcBorders>
            <w:vAlign w:val="center"/>
          </w:tcPr>
          <w:p w14:paraId="5E394ECB">
            <w:pPr>
              <w:widowControl/>
              <w:kinsoku/>
              <w:autoSpaceDE/>
              <w:autoSpaceDN/>
              <w:adjustRightInd w:val="0"/>
              <w:snapToGrid w:val="0"/>
              <w:spacing w:before="10" w:after="10" w:line="300" w:lineRule="atLeast"/>
              <w:ind w:firstLine="0" w:firstLineChars="0"/>
              <w:jc w:val="left"/>
              <w:textAlignment w:val="auto"/>
              <w:rPr>
                <w:rFonts w:ascii="Times New Roman" w:hAnsi="Times New Roman" w:eastAsia="仿宋_GB2312" w:cs="黑体"/>
                <w:snapToGrid w:val="0"/>
                <w:color w:val="000000"/>
                <w:kern w:val="0"/>
                <w:sz w:val="24"/>
                <w:szCs w:val="24"/>
                <w:highlight w:val="none"/>
                <w:lang w:eastAsia="en-US"/>
              </w:rPr>
            </w:pPr>
          </w:p>
        </w:tc>
        <w:tc>
          <w:tcPr>
            <w:tcW w:w="294" w:type="pct"/>
            <w:tcBorders>
              <w:top w:val="single" w:color="auto" w:sz="4" w:space="0"/>
              <w:left w:val="single" w:color="auto" w:sz="4" w:space="0"/>
              <w:bottom w:val="single" w:color="auto" w:sz="4" w:space="0"/>
              <w:right w:val="single" w:color="auto" w:sz="4" w:space="0"/>
            </w:tcBorders>
            <w:vAlign w:val="center"/>
          </w:tcPr>
          <w:p w14:paraId="1A203421">
            <w:pPr>
              <w:keepNext w:val="0"/>
              <w:keepLines w:val="0"/>
              <w:pageBreakBefore w:val="0"/>
              <w:widowControl w:val="0"/>
              <w:numPr>
                <w:ilvl w:val="0"/>
                <w:numId w:val="4"/>
              </w:numPr>
              <w:tabs>
                <w:tab w:val="left" w:pos="312"/>
              </w:tabs>
              <w:kinsoku/>
              <w:wordWrap/>
              <w:overflowPunct/>
              <w:topLinePunct w:val="0"/>
              <w:autoSpaceDE/>
              <w:autoSpaceDN/>
              <w:bidi w:val="0"/>
              <w:adjustRightInd w:val="0"/>
              <w:snapToGrid w:val="0"/>
              <w:spacing w:before="43" w:beforeLines="10" w:after="43" w:afterLines="10" w:line="300" w:lineRule="atLeast"/>
              <w:ind w:firstLine="0" w:firstLineChars="0"/>
              <w:jc w:val="center"/>
              <w:textAlignment w:val="auto"/>
              <w:rPr>
                <w:rFonts w:ascii="Times New Roman" w:hAnsi="Times New Roman" w:eastAsia="仿宋_GB2312" w:cs="黑体"/>
                <w:snapToGrid w:val="0"/>
                <w:color w:val="000000"/>
                <w:kern w:val="2"/>
                <w:sz w:val="24"/>
                <w:szCs w:val="24"/>
                <w:highlight w:val="none"/>
                <w:lang w:eastAsia="en-US"/>
              </w:rPr>
            </w:pPr>
          </w:p>
        </w:tc>
        <w:tc>
          <w:tcPr>
            <w:tcW w:w="896" w:type="pct"/>
            <w:tcBorders>
              <w:top w:val="single" w:color="auto" w:sz="4" w:space="0"/>
              <w:left w:val="single" w:color="auto" w:sz="4" w:space="0"/>
              <w:bottom w:val="single" w:color="auto" w:sz="4" w:space="0"/>
              <w:right w:val="single" w:color="auto" w:sz="4" w:space="0"/>
            </w:tcBorders>
            <w:vAlign w:val="center"/>
          </w:tcPr>
          <w:p w14:paraId="3EAEBBD0">
            <w:pPr>
              <w:widowControl w:val="0"/>
              <w:kinsoku/>
              <w:autoSpaceDE/>
              <w:autoSpaceDN/>
              <w:adjustRightInd w:val="0"/>
              <w:snapToGrid w:val="0"/>
              <w:spacing w:before="43" w:beforeLines="10" w:after="43" w:afterLines="10" w:line="300" w:lineRule="atLeast"/>
              <w:ind w:firstLine="0" w:firstLineChars="0"/>
              <w:jc w:val="center"/>
              <w:textAlignment w:val="auto"/>
              <w:rPr>
                <w:rFonts w:ascii="Times New Roman" w:hAnsi="Times New Roman" w:eastAsia="仿宋_GB2312" w:cs="黑体"/>
                <w:snapToGrid w:val="0"/>
                <w:color w:val="000000"/>
                <w:kern w:val="0"/>
                <w:sz w:val="24"/>
                <w:szCs w:val="24"/>
                <w:highlight w:val="none"/>
                <w:lang w:eastAsia="zh-CN"/>
              </w:rPr>
            </w:pPr>
            <w:r>
              <w:rPr>
                <w:rFonts w:hint="eastAsia" w:ascii="Times New Roman" w:hAnsi="Times New Roman" w:eastAsia="仿宋_GB2312" w:cs="黑体"/>
                <w:snapToGrid w:val="0"/>
                <w:color w:val="000000"/>
                <w:kern w:val="0"/>
                <w:sz w:val="24"/>
                <w:szCs w:val="24"/>
                <w:highlight w:val="none"/>
                <w:lang w:eastAsia="zh-CN"/>
              </w:rPr>
              <w:t>单位地区生产总值能源消耗降低（%）</w:t>
            </w:r>
          </w:p>
        </w:tc>
        <w:tc>
          <w:tcPr>
            <w:tcW w:w="2678" w:type="pct"/>
            <w:tcBorders>
              <w:top w:val="single" w:color="auto" w:sz="4" w:space="0"/>
              <w:left w:val="single" w:color="auto" w:sz="4" w:space="0"/>
              <w:bottom w:val="single" w:color="auto" w:sz="4" w:space="0"/>
              <w:right w:val="single" w:color="auto" w:sz="4" w:space="0"/>
            </w:tcBorders>
            <w:vAlign w:val="center"/>
          </w:tcPr>
          <w:p w14:paraId="67DE306F">
            <w:pPr>
              <w:widowControl w:val="0"/>
              <w:kinsoku/>
              <w:autoSpaceDE/>
              <w:autoSpaceDN/>
              <w:adjustRightInd w:val="0"/>
              <w:snapToGrid w:val="0"/>
              <w:spacing w:before="43" w:beforeLines="10" w:after="43" w:afterLines="10" w:line="300" w:lineRule="atLeast"/>
              <w:ind w:firstLine="0" w:firstLineChars="0"/>
              <w:textAlignment w:val="auto"/>
              <w:rPr>
                <w:rFonts w:ascii="Times New Roman" w:hAnsi="Times New Roman" w:eastAsia="仿宋_GB2312" w:cs="黑体"/>
                <w:snapToGrid w:val="0"/>
                <w:color w:val="000000"/>
                <w:kern w:val="0"/>
                <w:sz w:val="24"/>
                <w:szCs w:val="24"/>
                <w:highlight w:val="none"/>
                <w:lang w:eastAsia="zh-CN"/>
              </w:rPr>
            </w:pPr>
            <w:r>
              <w:rPr>
                <w:rFonts w:hint="eastAsia" w:ascii="Times New Roman" w:hAnsi="Times New Roman" w:eastAsia="仿宋_GB2312" w:cs="黑体"/>
                <w:snapToGrid w:val="0"/>
                <w:color w:val="000000"/>
                <w:kern w:val="0"/>
                <w:sz w:val="24"/>
                <w:szCs w:val="24"/>
                <w:highlight w:val="none"/>
                <w:lang w:eastAsia="zh-CN"/>
              </w:rPr>
              <w:t>单位地区生产总值能源消耗量下降幅度。</w:t>
            </w:r>
          </w:p>
        </w:tc>
        <w:tc>
          <w:tcPr>
            <w:tcW w:w="630" w:type="pct"/>
            <w:tcBorders>
              <w:top w:val="single" w:color="auto" w:sz="4" w:space="0"/>
              <w:left w:val="single" w:color="auto" w:sz="4" w:space="0"/>
              <w:bottom w:val="single" w:color="auto" w:sz="4" w:space="0"/>
              <w:right w:val="single" w:color="auto" w:sz="4" w:space="0"/>
            </w:tcBorders>
            <w:vAlign w:val="center"/>
          </w:tcPr>
          <w:p w14:paraId="78916AD3">
            <w:pPr>
              <w:widowControl/>
              <w:kinsoku/>
              <w:autoSpaceDE/>
              <w:autoSpaceDN/>
              <w:adjustRightInd w:val="0"/>
              <w:snapToGrid w:val="0"/>
              <w:spacing w:before="10" w:after="10" w:line="300" w:lineRule="atLeast"/>
              <w:ind w:firstLine="0" w:firstLineChars="0"/>
              <w:jc w:val="center"/>
              <w:textAlignment w:val="auto"/>
              <w:rPr>
                <w:rFonts w:hint="eastAsia" w:ascii="Times New Roman" w:hAnsi="Times New Roman" w:eastAsia="仿宋_GB2312" w:cs="黑体"/>
                <w:snapToGrid w:val="0"/>
                <w:color w:val="000000"/>
                <w:kern w:val="2"/>
                <w:sz w:val="24"/>
                <w:szCs w:val="24"/>
                <w:highlight w:val="none"/>
                <w:lang w:eastAsia="zh-CN"/>
              </w:rPr>
            </w:pPr>
            <w:r>
              <w:rPr>
                <w:rFonts w:hint="eastAsia" w:ascii="Times New Roman" w:hAnsi="Times New Roman" w:eastAsia="仿宋_GB2312" w:cs="黑体"/>
                <w:snapToGrid w:val="0"/>
                <w:color w:val="000000"/>
                <w:kern w:val="0"/>
                <w:sz w:val="24"/>
                <w:szCs w:val="24"/>
                <w:highlight w:val="none"/>
                <w:lang w:eastAsia="en-US"/>
              </w:rPr>
              <w:t>市域</w:t>
            </w:r>
          </w:p>
        </w:tc>
      </w:tr>
      <w:tr w14:paraId="4444C2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499" w:type="pct"/>
            <w:vMerge w:val="continue"/>
            <w:tcBorders>
              <w:left w:val="single" w:color="auto" w:sz="4" w:space="0"/>
              <w:right w:val="single" w:color="auto" w:sz="4" w:space="0"/>
            </w:tcBorders>
            <w:vAlign w:val="center"/>
          </w:tcPr>
          <w:p w14:paraId="2E3F921A">
            <w:pPr>
              <w:widowControl/>
              <w:kinsoku/>
              <w:autoSpaceDE/>
              <w:autoSpaceDN/>
              <w:adjustRightInd w:val="0"/>
              <w:snapToGrid w:val="0"/>
              <w:spacing w:before="10" w:after="10" w:line="300" w:lineRule="atLeast"/>
              <w:ind w:firstLine="0" w:firstLineChars="0"/>
              <w:jc w:val="left"/>
              <w:textAlignment w:val="auto"/>
              <w:rPr>
                <w:rFonts w:ascii="Times New Roman" w:hAnsi="Times New Roman" w:eastAsia="仿宋_GB2312" w:cs="黑体"/>
                <w:snapToGrid w:val="0"/>
                <w:color w:val="000000"/>
                <w:kern w:val="0"/>
                <w:sz w:val="24"/>
                <w:szCs w:val="24"/>
                <w:highlight w:val="none"/>
                <w:lang w:eastAsia="zh-CN"/>
              </w:rPr>
            </w:pPr>
          </w:p>
        </w:tc>
        <w:tc>
          <w:tcPr>
            <w:tcW w:w="294" w:type="pct"/>
            <w:tcBorders>
              <w:top w:val="single" w:color="auto" w:sz="4" w:space="0"/>
              <w:left w:val="single" w:color="auto" w:sz="4" w:space="0"/>
              <w:bottom w:val="single" w:color="auto" w:sz="4" w:space="0"/>
              <w:right w:val="single" w:color="auto" w:sz="4" w:space="0"/>
            </w:tcBorders>
            <w:vAlign w:val="center"/>
          </w:tcPr>
          <w:p w14:paraId="4FD935F4">
            <w:pPr>
              <w:keepNext w:val="0"/>
              <w:keepLines w:val="0"/>
              <w:pageBreakBefore w:val="0"/>
              <w:widowControl w:val="0"/>
              <w:numPr>
                <w:ilvl w:val="0"/>
                <w:numId w:val="4"/>
              </w:numPr>
              <w:tabs>
                <w:tab w:val="left" w:pos="312"/>
              </w:tabs>
              <w:kinsoku/>
              <w:wordWrap/>
              <w:overflowPunct/>
              <w:topLinePunct w:val="0"/>
              <w:autoSpaceDE/>
              <w:autoSpaceDN/>
              <w:bidi w:val="0"/>
              <w:adjustRightInd w:val="0"/>
              <w:snapToGrid w:val="0"/>
              <w:spacing w:before="43" w:beforeLines="10" w:after="43" w:afterLines="10" w:line="300" w:lineRule="atLeast"/>
              <w:ind w:firstLine="0" w:firstLineChars="0"/>
              <w:jc w:val="center"/>
              <w:textAlignment w:val="auto"/>
              <w:rPr>
                <w:rFonts w:ascii="Times New Roman" w:hAnsi="Times New Roman" w:eastAsia="仿宋_GB2312" w:cs="黑体"/>
                <w:snapToGrid w:val="0"/>
                <w:color w:val="000000"/>
                <w:kern w:val="2"/>
                <w:sz w:val="24"/>
                <w:szCs w:val="24"/>
                <w:highlight w:val="none"/>
                <w:lang w:eastAsia="zh-CN"/>
              </w:rPr>
            </w:pPr>
          </w:p>
        </w:tc>
        <w:tc>
          <w:tcPr>
            <w:tcW w:w="896" w:type="pct"/>
            <w:tcBorders>
              <w:top w:val="single" w:color="auto" w:sz="4" w:space="0"/>
              <w:left w:val="single" w:color="auto" w:sz="4" w:space="0"/>
              <w:bottom w:val="single" w:color="auto" w:sz="4" w:space="0"/>
              <w:right w:val="single" w:color="auto" w:sz="4" w:space="0"/>
            </w:tcBorders>
            <w:vAlign w:val="center"/>
          </w:tcPr>
          <w:p w14:paraId="187FBF87">
            <w:pPr>
              <w:widowControl w:val="0"/>
              <w:kinsoku/>
              <w:autoSpaceDE/>
              <w:autoSpaceDN/>
              <w:adjustRightInd w:val="0"/>
              <w:snapToGrid w:val="0"/>
              <w:spacing w:before="43" w:beforeLines="10" w:after="43" w:afterLines="10" w:line="300" w:lineRule="atLeast"/>
              <w:ind w:firstLine="0" w:firstLineChars="0"/>
              <w:jc w:val="center"/>
              <w:textAlignment w:val="auto"/>
              <w:rPr>
                <w:rFonts w:ascii="Times New Roman" w:hAnsi="Times New Roman" w:eastAsia="仿宋_GB2312" w:cs="黑体"/>
                <w:snapToGrid w:val="0"/>
                <w:color w:val="000000"/>
                <w:kern w:val="0"/>
                <w:sz w:val="24"/>
                <w:szCs w:val="24"/>
                <w:highlight w:val="none"/>
                <w:lang w:eastAsia="zh-CN"/>
              </w:rPr>
            </w:pPr>
            <w:r>
              <w:rPr>
                <w:rFonts w:hint="eastAsia" w:ascii="Times New Roman" w:hAnsi="Times New Roman" w:eastAsia="仿宋_GB2312" w:cs="黑体"/>
                <w:snapToGrid w:val="0"/>
                <w:color w:val="000000"/>
                <w:kern w:val="0"/>
                <w:sz w:val="24"/>
                <w:szCs w:val="24"/>
                <w:highlight w:val="none"/>
                <w:lang w:eastAsia="zh-CN"/>
              </w:rPr>
              <w:t>碳市场覆盖行业单位产出碳排放降低（%）</w:t>
            </w:r>
          </w:p>
        </w:tc>
        <w:tc>
          <w:tcPr>
            <w:tcW w:w="2678" w:type="pct"/>
            <w:tcBorders>
              <w:top w:val="single" w:color="auto" w:sz="4" w:space="0"/>
              <w:left w:val="single" w:color="auto" w:sz="4" w:space="0"/>
              <w:bottom w:val="single" w:color="auto" w:sz="4" w:space="0"/>
              <w:right w:val="single" w:color="auto" w:sz="4" w:space="0"/>
            </w:tcBorders>
            <w:vAlign w:val="center"/>
          </w:tcPr>
          <w:p w14:paraId="5A47DC56">
            <w:pPr>
              <w:widowControl w:val="0"/>
              <w:kinsoku/>
              <w:autoSpaceDE/>
              <w:autoSpaceDN/>
              <w:adjustRightInd w:val="0"/>
              <w:snapToGrid w:val="0"/>
              <w:spacing w:before="43" w:beforeLines="10" w:after="43" w:afterLines="10" w:line="300" w:lineRule="atLeast"/>
              <w:ind w:firstLine="0" w:firstLineChars="0"/>
              <w:textAlignment w:val="auto"/>
              <w:rPr>
                <w:rFonts w:ascii="Times New Roman" w:hAnsi="Times New Roman" w:eastAsia="仿宋_GB2312" w:cs="黑体"/>
                <w:snapToGrid w:val="0"/>
                <w:color w:val="000000"/>
                <w:kern w:val="2"/>
                <w:sz w:val="24"/>
                <w:szCs w:val="24"/>
                <w:highlight w:val="none"/>
                <w:lang w:eastAsia="zh-CN"/>
              </w:rPr>
            </w:pPr>
            <w:r>
              <w:rPr>
                <w:rFonts w:hint="eastAsia" w:ascii="Times New Roman" w:hAnsi="Times New Roman" w:eastAsia="仿宋_GB2312" w:cs="黑体"/>
                <w:snapToGrid w:val="0"/>
                <w:color w:val="000000"/>
                <w:kern w:val="0"/>
                <w:sz w:val="24"/>
                <w:szCs w:val="24"/>
                <w:highlight w:val="none"/>
                <w:lang w:eastAsia="zh-CN"/>
              </w:rPr>
              <w:t>全国碳市场覆盖行业的单位产品二氧化碳排放量下降幅度。</w:t>
            </w:r>
          </w:p>
        </w:tc>
        <w:tc>
          <w:tcPr>
            <w:tcW w:w="630" w:type="pct"/>
            <w:tcBorders>
              <w:top w:val="single" w:color="auto" w:sz="4" w:space="0"/>
              <w:left w:val="single" w:color="auto" w:sz="4" w:space="0"/>
              <w:bottom w:val="single" w:color="auto" w:sz="4" w:space="0"/>
              <w:right w:val="single" w:color="auto" w:sz="4" w:space="0"/>
            </w:tcBorders>
            <w:vAlign w:val="center"/>
          </w:tcPr>
          <w:p w14:paraId="5621798D">
            <w:pPr>
              <w:widowControl/>
              <w:kinsoku/>
              <w:autoSpaceDE/>
              <w:autoSpaceDN/>
              <w:adjustRightInd w:val="0"/>
              <w:snapToGrid w:val="0"/>
              <w:spacing w:before="10" w:after="10" w:line="300" w:lineRule="atLeast"/>
              <w:ind w:firstLine="0" w:firstLineChars="0"/>
              <w:jc w:val="center"/>
              <w:textAlignment w:val="auto"/>
              <w:rPr>
                <w:rFonts w:hint="eastAsia" w:ascii="Times New Roman" w:hAnsi="Times New Roman" w:eastAsia="仿宋_GB2312" w:cs="黑体"/>
                <w:snapToGrid w:val="0"/>
                <w:color w:val="000000"/>
                <w:kern w:val="2"/>
                <w:sz w:val="24"/>
                <w:szCs w:val="24"/>
                <w:highlight w:val="none"/>
                <w:lang w:eastAsia="zh-CN"/>
              </w:rPr>
            </w:pPr>
            <w:r>
              <w:rPr>
                <w:rFonts w:hint="eastAsia" w:ascii="Times New Roman" w:hAnsi="Times New Roman" w:eastAsia="仿宋_GB2312" w:cs="黑体"/>
                <w:snapToGrid w:val="0"/>
                <w:color w:val="000000"/>
                <w:kern w:val="0"/>
                <w:sz w:val="24"/>
                <w:szCs w:val="24"/>
                <w:highlight w:val="none"/>
                <w:lang w:eastAsia="en-US"/>
              </w:rPr>
              <w:t>市域</w:t>
            </w:r>
          </w:p>
        </w:tc>
      </w:tr>
      <w:tr w14:paraId="1EB2D9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499" w:type="pct"/>
            <w:vMerge w:val="continue"/>
            <w:tcBorders>
              <w:left w:val="single" w:color="auto" w:sz="4" w:space="0"/>
              <w:right w:val="single" w:color="auto" w:sz="4" w:space="0"/>
            </w:tcBorders>
            <w:vAlign w:val="center"/>
          </w:tcPr>
          <w:p w14:paraId="14447B87">
            <w:pPr>
              <w:widowControl/>
              <w:kinsoku/>
              <w:autoSpaceDE/>
              <w:autoSpaceDN/>
              <w:adjustRightInd w:val="0"/>
              <w:snapToGrid w:val="0"/>
              <w:spacing w:before="10" w:after="10" w:line="300" w:lineRule="atLeast"/>
              <w:ind w:firstLine="0" w:firstLineChars="0"/>
              <w:jc w:val="left"/>
              <w:textAlignment w:val="auto"/>
              <w:rPr>
                <w:rFonts w:ascii="Times New Roman" w:hAnsi="Times New Roman" w:eastAsia="仿宋_GB2312" w:cs="黑体"/>
                <w:snapToGrid w:val="0"/>
                <w:color w:val="000000"/>
                <w:kern w:val="0"/>
                <w:sz w:val="24"/>
                <w:szCs w:val="24"/>
                <w:highlight w:val="none"/>
                <w:lang w:eastAsia="zh-CN"/>
              </w:rPr>
            </w:pPr>
          </w:p>
        </w:tc>
        <w:tc>
          <w:tcPr>
            <w:tcW w:w="294" w:type="pct"/>
            <w:tcBorders>
              <w:top w:val="single" w:color="auto" w:sz="4" w:space="0"/>
              <w:left w:val="single" w:color="auto" w:sz="4" w:space="0"/>
              <w:bottom w:val="single" w:color="auto" w:sz="4" w:space="0"/>
              <w:right w:val="single" w:color="auto" w:sz="4" w:space="0"/>
            </w:tcBorders>
            <w:vAlign w:val="center"/>
          </w:tcPr>
          <w:p w14:paraId="645662D3">
            <w:pPr>
              <w:keepNext w:val="0"/>
              <w:keepLines w:val="0"/>
              <w:pageBreakBefore w:val="0"/>
              <w:widowControl w:val="0"/>
              <w:numPr>
                <w:ilvl w:val="0"/>
                <w:numId w:val="4"/>
              </w:numPr>
              <w:tabs>
                <w:tab w:val="left" w:pos="312"/>
              </w:tabs>
              <w:kinsoku/>
              <w:wordWrap/>
              <w:overflowPunct/>
              <w:topLinePunct w:val="0"/>
              <w:autoSpaceDE/>
              <w:autoSpaceDN/>
              <w:bidi w:val="0"/>
              <w:adjustRightInd w:val="0"/>
              <w:snapToGrid w:val="0"/>
              <w:spacing w:before="43" w:beforeLines="10" w:after="43" w:afterLines="10" w:line="300" w:lineRule="atLeast"/>
              <w:ind w:firstLine="0" w:firstLineChars="0"/>
              <w:jc w:val="center"/>
              <w:textAlignment w:val="auto"/>
              <w:rPr>
                <w:rFonts w:ascii="Times New Roman" w:hAnsi="Times New Roman" w:eastAsia="仿宋_GB2312" w:cs="黑体"/>
                <w:snapToGrid w:val="0"/>
                <w:color w:val="000000"/>
                <w:kern w:val="2"/>
                <w:sz w:val="24"/>
                <w:szCs w:val="24"/>
                <w:highlight w:val="none"/>
                <w:lang w:eastAsia="zh-CN"/>
              </w:rPr>
            </w:pPr>
          </w:p>
        </w:tc>
        <w:tc>
          <w:tcPr>
            <w:tcW w:w="896" w:type="pct"/>
            <w:tcBorders>
              <w:top w:val="single" w:color="auto" w:sz="4" w:space="0"/>
              <w:left w:val="single" w:color="auto" w:sz="4" w:space="0"/>
              <w:bottom w:val="single" w:color="auto" w:sz="4" w:space="0"/>
              <w:right w:val="single" w:color="auto" w:sz="4" w:space="0"/>
            </w:tcBorders>
            <w:vAlign w:val="center"/>
          </w:tcPr>
          <w:p w14:paraId="78D5A87E">
            <w:pPr>
              <w:widowControl w:val="0"/>
              <w:kinsoku/>
              <w:autoSpaceDE/>
              <w:autoSpaceDN/>
              <w:adjustRightInd w:val="0"/>
              <w:snapToGrid w:val="0"/>
              <w:spacing w:before="43" w:beforeLines="10" w:after="43" w:afterLines="10" w:line="300" w:lineRule="atLeast"/>
              <w:ind w:firstLine="0" w:firstLineChars="0"/>
              <w:jc w:val="center"/>
              <w:textAlignment w:val="auto"/>
              <w:rPr>
                <w:rFonts w:hint="eastAsia" w:ascii="Times New Roman" w:hAnsi="Times New Roman" w:eastAsia="仿宋_GB2312" w:cs="黑体"/>
                <w:snapToGrid w:val="0"/>
                <w:color w:val="000000"/>
                <w:kern w:val="0"/>
                <w:sz w:val="24"/>
                <w:szCs w:val="24"/>
                <w:highlight w:val="none"/>
                <w:lang w:val="en-US" w:eastAsia="zh-CN" w:bidi="ar-SA"/>
              </w:rPr>
            </w:pPr>
            <w:r>
              <w:rPr>
                <w:rFonts w:hint="eastAsia" w:ascii="Times New Roman" w:hAnsi="Times New Roman" w:eastAsia="仿宋_GB2312" w:cs="黑体"/>
                <w:snapToGrid w:val="0"/>
                <w:color w:val="000000"/>
                <w:kern w:val="0"/>
                <w:sz w:val="24"/>
                <w:szCs w:val="24"/>
                <w:highlight w:val="none"/>
                <w:lang w:eastAsia="en-US"/>
              </w:rPr>
              <w:t>年人均二氧化碳排放量（吨/人）</w:t>
            </w:r>
          </w:p>
        </w:tc>
        <w:tc>
          <w:tcPr>
            <w:tcW w:w="2678" w:type="pct"/>
            <w:tcBorders>
              <w:top w:val="single" w:color="auto" w:sz="4" w:space="0"/>
              <w:left w:val="single" w:color="auto" w:sz="4" w:space="0"/>
              <w:bottom w:val="single" w:color="auto" w:sz="4" w:space="0"/>
              <w:right w:val="single" w:color="auto" w:sz="4" w:space="0"/>
            </w:tcBorders>
            <w:vAlign w:val="center"/>
          </w:tcPr>
          <w:p w14:paraId="2E88A646">
            <w:pPr>
              <w:widowControl w:val="0"/>
              <w:kinsoku/>
              <w:autoSpaceDE/>
              <w:autoSpaceDN/>
              <w:adjustRightInd w:val="0"/>
              <w:snapToGrid w:val="0"/>
              <w:spacing w:before="43" w:beforeLines="10" w:after="43" w:afterLines="10" w:line="300" w:lineRule="atLeast"/>
              <w:ind w:firstLine="0" w:firstLineChars="0"/>
              <w:textAlignment w:val="auto"/>
              <w:rPr>
                <w:rFonts w:hint="eastAsia" w:ascii="Times New Roman" w:hAnsi="Times New Roman" w:eastAsia="仿宋_GB2312" w:cs="黑体"/>
                <w:snapToGrid w:val="0"/>
                <w:color w:val="000000"/>
                <w:kern w:val="2"/>
                <w:sz w:val="24"/>
                <w:szCs w:val="24"/>
                <w:highlight w:val="none"/>
                <w:lang w:val="en-US" w:eastAsia="zh-CN" w:bidi="ar-SA"/>
              </w:rPr>
            </w:pPr>
            <w:r>
              <w:rPr>
                <w:rFonts w:hint="eastAsia" w:ascii="Times New Roman" w:hAnsi="Times New Roman" w:eastAsia="仿宋_GB2312" w:cs="黑体"/>
                <w:snapToGrid w:val="0"/>
                <w:color w:val="000000"/>
                <w:kern w:val="0"/>
                <w:sz w:val="24"/>
                <w:szCs w:val="24"/>
                <w:highlight w:val="none"/>
                <w:lang w:eastAsia="zh-CN"/>
              </w:rPr>
              <w:t>全市年总二氧化碳排放量与全市常住人口的比值。</w:t>
            </w:r>
          </w:p>
        </w:tc>
        <w:tc>
          <w:tcPr>
            <w:tcW w:w="630" w:type="pct"/>
            <w:tcBorders>
              <w:top w:val="single" w:color="auto" w:sz="4" w:space="0"/>
              <w:left w:val="single" w:color="auto" w:sz="4" w:space="0"/>
              <w:bottom w:val="single" w:color="auto" w:sz="4" w:space="0"/>
              <w:right w:val="single" w:color="auto" w:sz="4" w:space="0"/>
            </w:tcBorders>
            <w:vAlign w:val="center"/>
          </w:tcPr>
          <w:p w14:paraId="7F7B49B6">
            <w:pPr>
              <w:widowControl w:val="0"/>
              <w:kinsoku/>
              <w:autoSpaceDE/>
              <w:autoSpaceDN/>
              <w:adjustRightInd w:val="0"/>
              <w:snapToGrid w:val="0"/>
              <w:spacing w:before="43" w:beforeLines="10" w:after="43" w:afterLines="10" w:line="300" w:lineRule="atLeast"/>
              <w:ind w:firstLine="0" w:firstLineChars="0"/>
              <w:jc w:val="center"/>
              <w:textAlignment w:val="auto"/>
              <w:rPr>
                <w:rFonts w:hint="eastAsia" w:ascii="Times New Roman" w:hAnsi="Times New Roman" w:eastAsia="仿宋_GB2312" w:cs="黑体"/>
                <w:snapToGrid w:val="0"/>
                <w:color w:val="000000"/>
                <w:kern w:val="0"/>
                <w:sz w:val="24"/>
                <w:szCs w:val="24"/>
                <w:highlight w:val="none"/>
                <w:lang w:val="en-US" w:eastAsia="en-US" w:bidi="ar-SA"/>
              </w:rPr>
            </w:pPr>
            <w:r>
              <w:rPr>
                <w:rFonts w:hint="eastAsia" w:ascii="Times New Roman" w:hAnsi="Times New Roman" w:eastAsia="仿宋_GB2312" w:cs="黑体"/>
                <w:snapToGrid w:val="0"/>
                <w:color w:val="000000"/>
                <w:kern w:val="0"/>
                <w:sz w:val="24"/>
                <w:szCs w:val="24"/>
                <w:highlight w:val="none"/>
                <w:lang w:eastAsia="zh-CN"/>
              </w:rPr>
              <w:t>市域</w:t>
            </w:r>
          </w:p>
        </w:tc>
      </w:tr>
      <w:tr w14:paraId="3B11A6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499" w:type="pct"/>
            <w:vMerge w:val="continue"/>
            <w:tcBorders>
              <w:left w:val="single" w:color="auto" w:sz="4" w:space="0"/>
              <w:right w:val="single" w:color="auto" w:sz="4" w:space="0"/>
            </w:tcBorders>
            <w:vAlign w:val="center"/>
          </w:tcPr>
          <w:p w14:paraId="6375160F">
            <w:pPr>
              <w:widowControl/>
              <w:kinsoku/>
              <w:autoSpaceDE/>
              <w:autoSpaceDN/>
              <w:adjustRightInd w:val="0"/>
              <w:snapToGrid w:val="0"/>
              <w:spacing w:before="10" w:after="10" w:line="300" w:lineRule="atLeast"/>
              <w:ind w:firstLine="0" w:firstLineChars="0"/>
              <w:jc w:val="left"/>
              <w:textAlignment w:val="auto"/>
              <w:rPr>
                <w:rFonts w:ascii="Times New Roman" w:hAnsi="Times New Roman" w:eastAsia="仿宋_GB2312" w:cs="黑体"/>
                <w:snapToGrid w:val="0"/>
                <w:color w:val="000000"/>
                <w:kern w:val="0"/>
                <w:sz w:val="24"/>
                <w:szCs w:val="24"/>
                <w:highlight w:val="none"/>
                <w:lang w:eastAsia="zh-CN"/>
              </w:rPr>
            </w:pPr>
          </w:p>
        </w:tc>
        <w:tc>
          <w:tcPr>
            <w:tcW w:w="294" w:type="pct"/>
            <w:tcBorders>
              <w:top w:val="single" w:color="auto" w:sz="4" w:space="0"/>
              <w:left w:val="single" w:color="auto" w:sz="4" w:space="0"/>
              <w:bottom w:val="single" w:color="auto" w:sz="4" w:space="0"/>
              <w:right w:val="single" w:color="auto" w:sz="4" w:space="0"/>
            </w:tcBorders>
            <w:vAlign w:val="center"/>
          </w:tcPr>
          <w:p w14:paraId="1320A14B">
            <w:pPr>
              <w:keepNext w:val="0"/>
              <w:keepLines w:val="0"/>
              <w:pageBreakBefore w:val="0"/>
              <w:widowControl w:val="0"/>
              <w:numPr>
                <w:ilvl w:val="0"/>
                <w:numId w:val="4"/>
              </w:numPr>
              <w:tabs>
                <w:tab w:val="left" w:pos="312"/>
              </w:tabs>
              <w:kinsoku/>
              <w:wordWrap/>
              <w:overflowPunct/>
              <w:topLinePunct w:val="0"/>
              <w:autoSpaceDE/>
              <w:autoSpaceDN/>
              <w:bidi w:val="0"/>
              <w:adjustRightInd w:val="0"/>
              <w:snapToGrid w:val="0"/>
              <w:spacing w:before="43" w:beforeLines="10" w:after="43" w:afterLines="10" w:line="300" w:lineRule="atLeast"/>
              <w:ind w:firstLine="0" w:firstLineChars="0"/>
              <w:jc w:val="center"/>
              <w:textAlignment w:val="auto"/>
              <w:rPr>
                <w:rFonts w:ascii="Times New Roman" w:hAnsi="Times New Roman" w:eastAsia="仿宋_GB2312" w:cs="黑体"/>
                <w:snapToGrid w:val="0"/>
                <w:color w:val="000000"/>
                <w:kern w:val="2"/>
                <w:sz w:val="24"/>
                <w:szCs w:val="24"/>
                <w:highlight w:val="none"/>
                <w:lang w:eastAsia="zh-CN"/>
              </w:rPr>
            </w:pPr>
          </w:p>
        </w:tc>
        <w:tc>
          <w:tcPr>
            <w:tcW w:w="896" w:type="pct"/>
            <w:tcBorders>
              <w:top w:val="single" w:color="auto" w:sz="4" w:space="0"/>
              <w:left w:val="single" w:color="auto" w:sz="4" w:space="0"/>
              <w:bottom w:val="single" w:color="auto" w:sz="4" w:space="0"/>
              <w:right w:val="single" w:color="auto" w:sz="4" w:space="0"/>
            </w:tcBorders>
            <w:vAlign w:val="center"/>
          </w:tcPr>
          <w:p w14:paraId="040071D1">
            <w:pPr>
              <w:widowControl w:val="0"/>
              <w:kinsoku/>
              <w:autoSpaceDE/>
              <w:autoSpaceDN/>
              <w:adjustRightInd w:val="0"/>
              <w:snapToGrid w:val="0"/>
              <w:spacing w:before="43" w:beforeLines="10" w:after="43" w:afterLines="10" w:line="300" w:lineRule="atLeast"/>
              <w:ind w:firstLine="0" w:firstLineChars="0"/>
              <w:jc w:val="center"/>
              <w:textAlignment w:val="auto"/>
              <w:rPr>
                <w:rFonts w:hint="eastAsia" w:ascii="Times New Roman" w:hAnsi="Times New Roman" w:eastAsia="仿宋_GB2312" w:cs="黑体"/>
                <w:snapToGrid w:val="0"/>
                <w:color w:val="000000"/>
                <w:kern w:val="0"/>
                <w:sz w:val="24"/>
                <w:szCs w:val="24"/>
                <w:highlight w:val="none"/>
                <w:lang w:val="en-US" w:eastAsia="zh-CN" w:bidi="ar-SA"/>
              </w:rPr>
            </w:pPr>
            <w:r>
              <w:rPr>
                <w:rFonts w:hint="eastAsia" w:ascii="Times New Roman" w:hAnsi="Times New Roman" w:eastAsia="仿宋_GB2312" w:cs="黑体"/>
                <w:snapToGrid w:val="0"/>
                <w:color w:val="000000"/>
                <w:kern w:val="0"/>
                <w:sz w:val="24"/>
                <w:szCs w:val="24"/>
                <w:highlight w:val="none"/>
                <w:lang w:eastAsia="en-US"/>
              </w:rPr>
              <w:t>绿色出行比例（%）</w:t>
            </w:r>
          </w:p>
        </w:tc>
        <w:tc>
          <w:tcPr>
            <w:tcW w:w="2678" w:type="pct"/>
            <w:tcBorders>
              <w:top w:val="single" w:color="auto" w:sz="4" w:space="0"/>
              <w:left w:val="single" w:color="auto" w:sz="4" w:space="0"/>
              <w:bottom w:val="single" w:color="auto" w:sz="4" w:space="0"/>
              <w:right w:val="single" w:color="auto" w:sz="4" w:space="0"/>
            </w:tcBorders>
            <w:vAlign w:val="center"/>
          </w:tcPr>
          <w:p w14:paraId="116886A3">
            <w:pPr>
              <w:widowControl w:val="0"/>
              <w:kinsoku/>
              <w:autoSpaceDE/>
              <w:autoSpaceDN/>
              <w:adjustRightInd w:val="0"/>
              <w:snapToGrid w:val="0"/>
              <w:spacing w:before="43" w:beforeLines="10" w:after="43" w:afterLines="10" w:line="300" w:lineRule="atLeast"/>
              <w:ind w:firstLine="0" w:firstLineChars="0"/>
              <w:textAlignment w:val="auto"/>
              <w:rPr>
                <w:rFonts w:hint="eastAsia" w:ascii="Times New Roman" w:hAnsi="Times New Roman" w:eastAsia="仿宋_GB2312" w:cs="黑体"/>
                <w:snapToGrid w:val="0"/>
                <w:color w:val="000000"/>
                <w:kern w:val="2"/>
                <w:sz w:val="24"/>
                <w:szCs w:val="24"/>
                <w:highlight w:val="none"/>
                <w:lang w:val="en-US" w:eastAsia="zh-CN" w:bidi="ar-SA"/>
              </w:rPr>
            </w:pPr>
            <w:r>
              <w:rPr>
                <w:rFonts w:hint="eastAsia" w:ascii="Times New Roman" w:hAnsi="Times New Roman" w:eastAsia="仿宋_GB2312" w:cs="黑体"/>
                <w:snapToGrid w:val="0"/>
                <w:color w:val="000000"/>
                <w:kern w:val="0"/>
                <w:sz w:val="24"/>
                <w:szCs w:val="24"/>
                <w:highlight w:val="none"/>
                <w:lang w:eastAsia="zh-CN"/>
              </w:rPr>
              <w:t>居民使用城市轨道交通、公共汽电车、自行车和步行等绿色出行方式的出行量占全部出行量的比例。</w:t>
            </w:r>
          </w:p>
        </w:tc>
        <w:tc>
          <w:tcPr>
            <w:tcW w:w="630" w:type="pct"/>
            <w:tcBorders>
              <w:top w:val="single" w:color="auto" w:sz="4" w:space="0"/>
              <w:left w:val="single" w:color="auto" w:sz="4" w:space="0"/>
              <w:bottom w:val="single" w:color="auto" w:sz="4" w:space="0"/>
              <w:right w:val="single" w:color="auto" w:sz="4" w:space="0"/>
            </w:tcBorders>
            <w:vAlign w:val="center"/>
          </w:tcPr>
          <w:p w14:paraId="3905E5A3">
            <w:pPr>
              <w:widowControl w:val="0"/>
              <w:kinsoku/>
              <w:autoSpaceDE/>
              <w:autoSpaceDN/>
              <w:adjustRightInd w:val="0"/>
              <w:snapToGrid w:val="0"/>
              <w:spacing w:before="43" w:beforeLines="10" w:after="43" w:afterLines="10" w:line="300" w:lineRule="atLeast"/>
              <w:ind w:firstLine="0" w:firstLineChars="0"/>
              <w:jc w:val="center"/>
              <w:textAlignment w:val="auto"/>
              <w:rPr>
                <w:rFonts w:hint="eastAsia" w:ascii="Times New Roman" w:hAnsi="Times New Roman" w:eastAsia="仿宋_GB2312" w:cs="黑体"/>
                <w:snapToGrid w:val="0"/>
                <w:color w:val="000000"/>
                <w:kern w:val="0"/>
                <w:sz w:val="24"/>
                <w:szCs w:val="24"/>
                <w:highlight w:val="none"/>
                <w:lang w:val="en-US" w:eastAsia="en-US" w:bidi="ar-SA"/>
              </w:rPr>
            </w:pPr>
            <w:r>
              <w:rPr>
                <w:rFonts w:hint="eastAsia" w:ascii="Times New Roman" w:hAnsi="Times New Roman" w:eastAsia="仿宋_GB2312" w:cs="黑体"/>
                <w:snapToGrid w:val="0"/>
                <w:color w:val="000000"/>
                <w:kern w:val="0"/>
                <w:sz w:val="24"/>
                <w:szCs w:val="24"/>
                <w:highlight w:val="none"/>
                <w:lang w:eastAsia="zh-CN"/>
              </w:rPr>
              <w:t>城区</w:t>
            </w:r>
          </w:p>
        </w:tc>
      </w:tr>
      <w:tr w14:paraId="15EE80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499" w:type="pct"/>
            <w:vMerge w:val="continue"/>
            <w:tcBorders>
              <w:left w:val="single" w:color="auto" w:sz="4" w:space="0"/>
              <w:right w:val="single" w:color="auto" w:sz="4" w:space="0"/>
            </w:tcBorders>
            <w:vAlign w:val="center"/>
          </w:tcPr>
          <w:p w14:paraId="2D84855C">
            <w:pPr>
              <w:widowControl/>
              <w:kinsoku/>
              <w:autoSpaceDE/>
              <w:autoSpaceDN/>
              <w:adjustRightInd w:val="0"/>
              <w:snapToGrid w:val="0"/>
              <w:spacing w:before="10" w:after="10" w:line="300" w:lineRule="atLeast"/>
              <w:ind w:firstLine="0" w:firstLineChars="0"/>
              <w:jc w:val="left"/>
              <w:textAlignment w:val="auto"/>
              <w:rPr>
                <w:rFonts w:ascii="Times New Roman" w:hAnsi="Times New Roman" w:eastAsia="仿宋_GB2312" w:cs="黑体"/>
                <w:snapToGrid w:val="0"/>
                <w:color w:val="000000"/>
                <w:kern w:val="0"/>
                <w:sz w:val="24"/>
                <w:szCs w:val="24"/>
                <w:highlight w:val="none"/>
                <w:lang w:eastAsia="zh-CN"/>
              </w:rPr>
            </w:pPr>
          </w:p>
        </w:tc>
        <w:tc>
          <w:tcPr>
            <w:tcW w:w="294" w:type="pct"/>
            <w:tcBorders>
              <w:top w:val="single" w:color="auto" w:sz="4" w:space="0"/>
              <w:left w:val="single" w:color="auto" w:sz="4" w:space="0"/>
              <w:bottom w:val="single" w:color="auto" w:sz="4" w:space="0"/>
              <w:right w:val="single" w:color="auto" w:sz="4" w:space="0"/>
            </w:tcBorders>
            <w:vAlign w:val="center"/>
          </w:tcPr>
          <w:p w14:paraId="6E8733A3">
            <w:pPr>
              <w:keepNext w:val="0"/>
              <w:keepLines w:val="0"/>
              <w:pageBreakBefore w:val="0"/>
              <w:widowControl w:val="0"/>
              <w:numPr>
                <w:ilvl w:val="0"/>
                <w:numId w:val="4"/>
              </w:numPr>
              <w:tabs>
                <w:tab w:val="left" w:pos="312"/>
              </w:tabs>
              <w:kinsoku/>
              <w:wordWrap/>
              <w:overflowPunct/>
              <w:topLinePunct w:val="0"/>
              <w:autoSpaceDE/>
              <w:autoSpaceDN/>
              <w:bidi w:val="0"/>
              <w:adjustRightInd w:val="0"/>
              <w:snapToGrid w:val="0"/>
              <w:spacing w:before="43" w:beforeLines="10" w:after="43" w:afterLines="10" w:line="300" w:lineRule="atLeast"/>
              <w:ind w:firstLine="0" w:firstLineChars="0"/>
              <w:jc w:val="center"/>
              <w:textAlignment w:val="auto"/>
              <w:rPr>
                <w:rFonts w:ascii="Times New Roman" w:hAnsi="Times New Roman" w:eastAsia="仿宋_GB2312" w:cs="黑体"/>
                <w:snapToGrid w:val="0"/>
                <w:color w:val="000000"/>
                <w:kern w:val="2"/>
                <w:sz w:val="24"/>
                <w:szCs w:val="24"/>
                <w:highlight w:val="none"/>
                <w:lang w:eastAsia="zh-CN"/>
              </w:rPr>
            </w:pPr>
          </w:p>
        </w:tc>
        <w:tc>
          <w:tcPr>
            <w:tcW w:w="896" w:type="pct"/>
            <w:tcBorders>
              <w:top w:val="single" w:color="auto" w:sz="4" w:space="0"/>
              <w:left w:val="single" w:color="auto" w:sz="4" w:space="0"/>
              <w:bottom w:val="single" w:color="auto" w:sz="4" w:space="0"/>
              <w:right w:val="single" w:color="auto" w:sz="4" w:space="0"/>
            </w:tcBorders>
            <w:vAlign w:val="center"/>
          </w:tcPr>
          <w:p w14:paraId="3854D31F">
            <w:pPr>
              <w:widowControl w:val="0"/>
              <w:kinsoku/>
              <w:autoSpaceDE/>
              <w:autoSpaceDN/>
              <w:adjustRightInd w:val="0"/>
              <w:snapToGrid w:val="0"/>
              <w:spacing w:before="43" w:beforeLines="10" w:after="43" w:afterLines="10" w:line="300" w:lineRule="atLeast"/>
              <w:ind w:firstLine="0" w:firstLineChars="0"/>
              <w:jc w:val="center"/>
              <w:textAlignment w:val="auto"/>
              <w:rPr>
                <w:rFonts w:hint="eastAsia" w:ascii="Times New Roman" w:hAnsi="Times New Roman" w:eastAsia="仿宋_GB2312" w:cs="黑体"/>
                <w:snapToGrid w:val="0"/>
                <w:color w:val="000000"/>
                <w:kern w:val="0"/>
                <w:sz w:val="24"/>
                <w:szCs w:val="24"/>
                <w:highlight w:val="none"/>
                <w:lang w:val="en-US" w:eastAsia="en-US" w:bidi="ar-SA"/>
              </w:rPr>
            </w:pPr>
            <w:r>
              <w:rPr>
                <w:rFonts w:hint="eastAsia" w:ascii="Times New Roman" w:hAnsi="Times New Roman" w:eastAsia="仿宋_GB2312" w:cs="黑体"/>
                <w:snapToGrid w:val="0"/>
                <w:color w:val="000000"/>
                <w:kern w:val="0"/>
                <w:sz w:val="24"/>
                <w:szCs w:val="24"/>
                <w:highlight w:val="none"/>
                <w:lang w:eastAsia="zh-CN"/>
              </w:rPr>
              <w:t>社区低碳能源设施覆盖率（%）</w:t>
            </w:r>
          </w:p>
        </w:tc>
        <w:tc>
          <w:tcPr>
            <w:tcW w:w="2678" w:type="pct"/>
            <w:tcBorders>
              <w:top w:val="single" w:color="auto" w:sz="4" w:space="0"/>
              <w:left w:val="single" w:color="auto" w:sz="4" w:space="0"/>
              <w:bottom w:val="single" w:color="auto" w:sz="4" w:space="0"/>
              <w:right w:val="single" w:color="auto" w:sz="4" w:space="0"/>
            </w:tcBorders>
            <w:vAlign w:val="center"/>
          </w:tcPr>
          <w:p w14:paraId="0EC3F6BC">
            <w:pPr>
              <w:widowControl w:val="0"/>
              <w:kinsoku/>
              <w:autoSpaceDE/>
              <w:autoSpaceDN/>
              <w:adjustRightInd w:val="0"/>
              <w:snapToGrid w:val="0"/>
              <w:spacing w:before="43" w:beforeLines="10" w:after="43" w:afterLines="10" w:line="300" w:lineRule="atLeast"/>
              <w:ind w:firstLine="0" w:firstLineChars="0"/>
              <w:textAlignment w:val="auto"/>
              <w:rPr>
                <w:rFonts w:hint="eastAsia" w:ascii="Times New Roman" w:hAnsi="Times New Roman" w:eastAsia="仿宋_GB2312" w:cs="黑体"/>
                <w:snapToGrid w:val="0"/>
                <w:color w:val="000000"/>
                <w:kern w:val="2"/>
                <w:sz w:val="24"/>
                <w:szCs w:val="24"/>
                <w:highlight w:val="none"/>
                <w:lang w:val="en-US" w:eastAsia="zh-CN" w:bidi="ar-SA"/>
              </w:rPr>
            </w:pPr>
            <w:r>
              <w:rPr>
                <w:rFonts w:hint="eastAsia" w:ascii="Times New Roman" w:hAnsi="Times New Roman" w:eastAsia="仿宋_GB2312" w:cs="黑体"/>
                <w:snapToGrid w:val="0"/>
                <w:color w:val="000000"/>
                <w:kern w:val="2"/>
                <w:sz w:val="24"/>
                <w:szCs w:val="24"/>
                <w:highlight w:val="none"/>
                <w:lang w:eastAsia="zh-CN"/>
              </w:rPr>
              <w:t>城区配备充电站（桩）、换电站、分布式能源站等低碳能源设施的社区数量占社区总数的百分比。</w:t>
            </w:r>
          </w:p>
        </w:tc>
        <w:tc>
          <w:tcPr>
            <w:tcW w:w="630" w:type="pct"/>
            <w:tcBorders>
              <w:top w:val="single" w:color="auto" w:sz="4" w:space="0"/>
              <w:left w:val="single" w:color="auto" w:sz="4" w:space="0"/>
              <w:bottom w:val="nil"/>
              <w:right w:val="single" w:color="auto" w:sz="4" w:space="0"/>
            </w:tcBorders>
            <w:vAlign w:val="center"/>
          </w:tcPr>
          <w:p w14:paraId="77EFB281">
            <w:pPr>
              <w:widowControl w:val="0"/>
              <w:kinsoku/>
              <w:autoSpaceDE/>
              <w:autoSpaceDN/>
              <w:adjustRightInd w:val="0"/>
              <w:snapToGrid w:val="0"/>
              <w:spacing w:before="43" w:beforeLines="10" w:after="43" w:afterLines="10" w:line="300" w:lineRule="atLeast"/>
              <w:ind w:firstLine="0" w:firstLineChars="0"/>
              <w:jc w:val="center"/>
              <w:textAlignment w:val="auto"/>
              <w:rPr>
                <w:rFonts w:hint="eastAsia" w:ascii="Times New Roman" w:hAnsi="Times New Roman" w:eastAsia="仿宋_GB2312" w:cs="黑体"/>
                <w:snapToGrid w:val="0"/>
                <w:color w:val="000000"/>
                <w:kern w:val="2"/>
                <w:sz w:val="24"/>
                <w:szCs w:val="24"/>
                <w:highlight w:val="none"/>
                <w:lang w:val="en-US" w:eastAsia="zh-CN" w:bidi="ar-SA"/>
              </w:rPr>
            </w:pPr>
            <w:r>
              <w:rPr>
                <w:rFonts w:hint="eastAsia" w:ascii="Times New Roman" w:hAnsi="Times New Roman" w:eastAsia="仿宋_GB2312" w:cs="黑体"/>
                <w:snapToGrid w:val="0"/>
                <w:color w:val="000000"/>
                <w:kern w:val="0"/>
                <w:sz w:val="24"/>
                <w:szCs w:val="24"/>
                <w:highlight w:val="none"/>
                <w:lang w:eastAsia="zh-CN"/>
              </w:rPr>
              <w:t>城区</w:t>
            </w:r>
          </w:p>
        </w:tc>
      </w:tr>
      <w:tr w14:paraId="02151F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499" w:type="pct"/>
            <w:vMerge w:val="continue"/>
            <w:tcBorders>
              <w:left w:val="single" w:color="auto" w:sz="4" w:space="0"/>
              <w:right w:val="single" w:color="auto" w:sz="4" w:space="0"/>
            </w:tcBorders>
            <w:vAlign w:val="center"/>
          </w:tcPr>
          <w:p w14:paraId="06CC1A6E">
            <w:pPr>
              <w:widowControl/>
              <w:kinsoku/>
              <w:autoSpaceDE/>
              <w:autoSpaceDN/>
              <w:adjustRightInd w:val="0"/>
              <w:snapToGrid w:val="0"/>
              <w:spacing w:before="10" w:after="10" w:line="300" w:lineRule="atLeast"/>
              <w:ind w:firstLine="0" w:firstLineChars="0"/>
              <w:jc w:val="left"/>
              <w:textAlignment w:val="auto"/>
              <w:rPr>
                <w:rFonts w:ascii="Times New Roman" w:hAnsi="Times New Roman" w:eastAsia="仿宋_GB2312" w:cs="黑体"/>
                <w:snapToGrid w:val="0"/>
                <w:color w:val="000000"/>
                <w:kern w:val="0"/>
                <w:sz w:val="24"/>
                <w:szCs w:val="24"/>
                <w:highlight w:val="none"/>
                <w:lang w:eastAsia="zh-CN"/>
              </w:rPr>
            </w:pPr>
          </w:p>
        </w:tc>
        <w:tc>
          <w:tcPr>
            <w:tcW w:w="294" w:type="pct"/>
            <w:tcBorders>
              <w:top w:val="single" w:color="auto" w:sz="4" w:space="0"/>
              <w:left w:val="single" w:color="auto" w:sz="4" w:space="0"/>
              <w:bottom w:val="single" w:color="auto" w:sz="4" w:space="0"/>
              <w:right w:val="single" w:color="auto" w:sz="4" w:space="0"/>
            </w:tcBorders>
            <w:vAlign w:val="center"/>
          </w:tcPr>
          <w:p w14:paraId="2FB4386D">
            <w:pPr>
              <w:keepNext w:val="0"/>
              <w:keepLines w:val="0"/>
              <w:pageBreakBefore w:val="0"/>
              <w:widowControl w:val="0"/>
              <w:numPr>
                <w:ilvl w:val="0"/>
                <w:numId w:val="4"/>
              </w:numPr>
              <w:tabs>
                <w:tab w:val="left" w:pos="312"/>
              </w:tabs>
              <w:kinsoku/>
              <w:wordWrap/>
              <w:overflowPunct/>
              <w:topLinePunct w:val="0"/>
              <w:autoSpaceDE/>
              <w:autoSpaceDN/>
              <w:bidi w:val="0"/>
              <w:adjustRightInd w:val="0"/>
              <w:snapToGrid w:val="0"/>
              <w:spacing w:before="43" w:beforeLines="10" w:after="43" w:afterLines="10" w:line="300" w:lineRule="atLeast"/>
              <w:ind w:firstLine="0" w:firstLineChars="0"/>
              <w:jc w:val="center"/>
              <w:textAlignment w:val="auto"/>
              <w:rPr>
                <w:rFonts w:ascii="Times New Roman" w:hAnsi="Times New Roman" w:eastAsia="仿宋_GB2312" w:cs="黑体"/>
                <w:snapToGrid w:val="0"/>
                <w:color w:val="000000"/>
                <w:kern w:val="2"/>
                <w:sz w:val="24"/>
                <w:szCs w:val="24"/>
                <w:highlight w:val="none"/>
                <w:lang w:eastAsia="zh-CN"/>
              </w:rPr>
            </w:pPr>
          </w:p>
        </w:tc>
        <w:tc>
          <w:tcPr>
            <w:tcW w:w="896" w:type="pct"/>
            <w:tcBorders>
              <w:top w:val="single" w:color="auto" w:sz="4" w:space="0"/>
              <w:left w:val="single" w:color="auto" w:sz="4" w:space="0"/>
              <w:bottom w:val="single" w:color="auto" w:sz="4" w:space="0"/>
              <w:right w:val="single" w:color="auto" w:sz="4" w:space="0"/>
            </w:tcBorders>
            <w:vAlign w:val="center"/>
          </w:tcPr>
          <w:p w14:paraId="46275ED5">
            <w:pPr>
              <w:widowControl w:val="0"/>
              <w:kinsoku/>
              <w:autoSpaceDE/>
              <w:autoSpaceDN/>
              <w:adjustRightInd w:val="0"/>
              <w:snapToGrid w:val="0"/>
              <w:spacing w:before="43" w:beforeLines="10" w:after="43" w:afterLines="10" w:line="300" w:lineRule="atLeast"/>
              <w:ind w:firstLine="0" w:firstLineChars="0"/>
              <w:jc w:val="center"/>
              <w:textAlignment w:val="auto"/>
              <w:rPr>
                <w:rFonts w:hint="eastAsia" w:ascii="Times New Roman" w:hAnsi="Times New Roman" w:eastAsia="仿宋_GB2312" w:cs="黑体"/>
                <w:snapToGrid w:val="0"/>
                <w:color w:val="000000"/>
                <w:kern w:val="0"/>
                <w:sz w:val="24"/>
                <w:szCs w:val="24"/>
                <w:highlight w:val="none"/>
                <w:lang w:val="en-US" w:eastAsia="en-US" w:bidi="ar-SA"/>
              </w:rPr>
            </w:pPr>
            <w:r>
              <w:rPr>
                <w:rFonts w:hint="eastAsia" w:ascii="Times New Roman" w:hAnsi="Times New Roman" w:eastAsia="仿宋_GB2312" w:cs="黑体"/>
                <w:snapToGrid w:val="0"/>
                <w:color w:val="000000"/>
                <w:kern w:val="0"/>
                <w:sz w:val="24"/>
                <w:szCs w:val="24"/>
                <w:highlight w:val="none"/>
                <w:lang w:eastAsia="zh-CN"/>
              </w:rPr>
              <w:t>绿色建筑面积占比（%）</w:t>
            </w:r>
          </w:p>
        </w:tc>
        <w:tc>
          <w:tcPr>
            <w:tcW w:w="2678" w:type="pct"/>
            <w:tcBorders>
              <w:top w:val="single" w:color="auto" w:sz="4" w:space="0"/>
              <w:left w:val="single" w:color="auto" w:sz="4" w:space="0"/>
              <w:bottom w:val="single" w:color="auto" w:sz="4" w:space="0"/>
              <w:right w:val="single" w:color="auto" w:sz="4" w:space="0"/>
            </w:tcBorders>
            <w:vAlign w:val="center"/>
          </w:tcPr>
          <w:p w14:paraId="44CA1281">
            <w:pPr>
              <w:widowControl w:val="0"/>
              <w:kinsoku/>
              <w:autoSpaceDE/>
              <w:autoSpaceDN/>
              <w:adjustRightInd w:val="0"/>
              <w:snapToGrid w:val="0"/>
              <w:spacing w:before="43" w:beforeLines="10" w:after="43" w:afterLines="10" w:line="300" w:lineRule="atLeast"/>
              <w:ind w:firstLine="0" w:firstLineChars="0"/>
              <w:textAlignment w:val="auto"/>
              <w:rPr>
                <w:rFonts w:hint="eastAsia" w:ascii="Times New Roman" w:hAnsi="Times New Roman" w:eastAsia="仿宋_GB2312" w:cs="黑体"/>
                <w:snapToGrid w:val="0"/>
                <w:color w:val="000000"/>
                <w:kern w:val="0"/>
                <w:sz w:val="24"/>
                <w:szCs w:val="24"/>
                <w:highlight w:val="none"/>
                <w:lang w:val="en-US" w:eastAsia="zh-CN" w:bidi="ar-SA"/>
              </w:rPr>
            </w:pPr>
            <w:r>
              <w:rPr>
                <w:rFonts w:hint="eastAsia" w:ascii="Times New Roman" w:hAnsi="Times New Roman" w:eastAsia="仿宋_GB2312" w:cs="黑体"/>
                <w:snapToGrid w:val="0"/>
                <w:color w:val="000000"/>
                <w:kern w:val="0"/>
                <w:sz w:val="24"/>
                <w:szCs w:val="24"/>
                <w:highlight w:val="none"/>
                <w:lang w:eastAsia="zh-CN"/>
              </w:rPr>
              <w:t>城区内绿色建筑占城区建筑总面积的比例。</w:t>
            </w:r>
          </w:p>
        </w:tc>
        <w:tc>
          <w:tcPr>
            <w:tcW w:w="630" w:type="pct"/>
            <w:tcBorders>
              <w:top w:val="single" w:color="auto" w:sz="4" w:space="0"/>
              <w:left w:val="single" w:color="auto" w:sz="4" w:space="0"/>
              <w:bottom w:val="nil"/>
              <w:right w:val="single" w:color="auto" w:sz="4" w:space="0"/>
            </w:tcBorders>
            <w:vAlign w:val="center"/>
          </w:tcPr>
          <w:p w14:paraId="3A435B6B">
            <w:pPr>
              <w:widowControl w:val="0"/>
              <w:kinsoku/>
              <w:autoSpaceDE/>
              <w:autoSpaceDN/>
              <w:adjustRightInd w:val="0"/>
              <w:snapToGrid w:val="0"/>
              <w:spacing w:before="43" w:beforeLines="10" w:after="43" w:afterLines="10" w:line="300" w:lineRule="atLeast"/>
              <w:ind w:firstLine="0" w:firstLineChars="0"/>
              <w:jc w:val="center"/>
              <w:textAlignment w:val="auto"/>
              <w:rPr>
                <w:rFonts w:hint="eastAsia" w:ascii="Times New Roman" w:hAnsi="Times New Roman" w:eastAsia="仿宋_GB2312" w:cs="黑体"/>
                <w:snapToGrid w:val="0"/>
                <w:color w:val="000000"/>
                <w:kern w:val="0"/>
                <w:sz w:val="24"/>
                <w:szCs w:val="24"/>
                <w:highlight w:val="none"/>
                <w:lang w:val="en-US" w:eastAsia="zh-CN" w:bidi="ar-SA"/>
              </w:rPr>
            </w:pPr>
            <w:r>
              <w:rPr>
                <w:rFonts w:hint="eastAsia" w:ascii="Times New Roman" w:hAnsi="Times New Roman" w:eastAsia="仿宋_GB2312" w:cs="黑体"/>
                <w:snapToGrid w:val="0"/>
                <w:color w:val="000000"/>
                <w:kern w:val="0"/>
                <w:sz w:val="24"/>
                <w:szCs w:val="24"/>
                <w:highlight w:val="none"/>
                <w:lang w:eastAsia="zh-CN"/>
              </w:rPr>
              <w:t>城区</w:t>
            </w:r>
          </w:p>
        </w:tc>
      </w:tr>
      <w:tr w14:paraId="615C7D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499" w:type="pct"/>
            <w:vMerge w:val="continue"/>
            <w:tcBorders>
              <w:left w:val="single" w:color="auto" w:sz="4" w:space="0"/>
              <w:right w:val="single" w:color="auto" w:sz="4" w:space="0"/>
            </w:tcBorders>
            <w:vAlign w:val="center"/>
          </w:tcPr>
          <w:p w14:paraId="468F690A">
            <w:pPr>
              <w:widowControl/>
              <w:kinsoku/>
              <w:autoSpaceDE/>
              <w:autoSpaceDN/>
              <w:adjustRightInd w:val="0"/>
              <w:snapToGrid w:val="0"/>
              <w:spacing w:before="10" w:after="10" w:line="300" w:lineRule="atLeast"/>
              <w:ind w:firstLine="0" w:firstLineChars="0"/>
              <w:jc w:val="left"/>
              <w:textAlignment w:val="auto"/>
              <w:rPr>
                <w:rFonts w:ascii="Times New Roman" w:hAnsi="Times New Roman" w:eastAsia="仿宋_GB2312" w:cs="黑体"/>
                <w:snapToGrid w:val="0"/>
                <w:color w:val="000000"/>
                <w:kern w:val="0"/>
                <w:sz w:val="24"/>
                <w:szCs w:val="24"/>
                <w:highlight w:val="none"/>
                <w:lang w:eastAsia="zh-CN"/>
              </w:rPr>
            </w:pPr>
          </w:p>
        </w:tc>
        <w:tc>
          <w:tcPr>
            <w:tcW w:w="294" w:type="pct"/>
            <w:tcBorders>
              <w:top w:val="single" w:color="auto" w:sz="4" w:space="0"/>
              <w:left w:val="single" w:color="auto" w:sz="4" w:space="0"/>
              <w:bottom w:val="single" w:color="auto" w:sz="4" w:space="0"/>
              <w:right w:val="single" w:color="auto" w:sz="4" w:space="0"/>
            </w:tcBorders>
            <w:vAlign w:val="center"/>
          </w:tcPr>
          <w:p w14:paraId="544BA0E9">
            <w:pPr>
              <w:keepNext w:val="0"/>
              <w:keepLines w:val="0"/>
              <w:pageBreakBefore w:val="0"/>
              <w:widowControl w:val="0"/>
              <w:numPr>
                <w:ilvl w:val="0"/>
                <w:numId w:val="4"/>
              </w:numPr>
              <w:tabs>
                <w:tab w:val="left" w:pos="312"/>
              </w:tabs>
              <w:kinsoku/>
              <w:wordWrap/>
              <w:overflowPunct/>
              <w:topLinePunct w:val="0"/>
              <w:autoSpaceDE/>
              <w:autoSpaceDN/>
              <w:bidi w:val="0"/>
              <w:adjustRightInd w:val="0"/>
              <w:snapToGrid w:val="0"/>
              <w:spacing w:before="43" w:beforeLines="10" w:after="43" w:afterLines="10" w:line="300" w:lineRule="atLeast"/>
              <w:ind w:firstLine="0" w:firstLineChars="0"/>
              <w:jc w:val="center"/>
              <w:textAlignment w:val="auto"/>
              <w:rPr>
                <w:rFonts w:ascii="Times New Roman" w:hAnsi="Times New Roman" w:eastAsia="仿宋_GB2312" w:cs="黑体"/>
                <w:snapToGrid w:val="0"/>
                <w:color w:val="000000"/>
                <w:kern w:val="2"/>
                <w:sz w:val="24"/>
                <w:szCs w:val="24"/>
                <w:highlight w:val="none"/>
                <w:lang w:eastAsia="zh-CN"/>
              </w:rPr>
            </w:pPr>
          </w:p>
        </w:tc>
        <w:tc>
          <w:tcPr>
            <w:tcW w:w="896" w:type="pct"/>
            <w:tcBorders>
              <w:top w:val="single" w:color="auto" w:sz="4" w:space="0"/>
              <w:left w:val="single" w:color="auto" w:sz="4" w:space="0"/>
              <w:bottom w:val="single" w:color="auto" w:sz="4" w:space="0"/>
              <w:right w:val="single" w:color="auto" w:sz="4" w:space="0"/>
            </w:tcBorders>
            <w:vAlign w:val="center"/>
          </w:tcPr>
          <w:p w14:paraId="5033E6CF">
            <w:pPr>
              <w:widowControl w:val="0"/>
              <w:kinsoku/>
              <w:autoSpaceDE/>
              <w:autoSpaceDN/>
              <w:adjustRightInd w:val="0"/>
              <w:snapToGrid w:val="0"/>
              <w:spacing w:before="21" w:beforeLines="5" w:after="21" w:afterLines="5" w:line="300" w:lineRule="atLeast"/>
              <w:ind w:firstLine="0" w:firstLineChars="0"/>
              <w:jc w:val="center"/>
              <w:textAlignment w:val="auto"/>
              <w:rPr>
                <w:rFonts w:hint="eastAsia" w:ascii="Times New Roman" w:hAnsi="Times New Roman" w:eastAsia="仿宋_GB2312" w:cs="黑体"/>
                <w:snapToGrid w:val="0"/>
                <w:color w:val="000000"/>
                <w:kern w:val="0"/>
                <w:sz w:val="24"/>
                <w:szCs w:val="24"/>
                <w:highlight w:val="none"/>
                <w:lang w:val="en-US" w:eastAsia="zh-CN" w:bidi="ar-SA"/>
              </w:rPr>
            </w:pPr>
            <w:r>
              <w:rPr>
                <w:rFonts w:hint="eastAsia" w:ascii="Times New Roman" w:hAnsi="Times New Roman" w:eastAsia="仿宋_GB2312" w:cs="仿宋_GB2312"/>
                <w:b w:val="0"/>
                <w:bCs w:val="0"/>
                <w:snapToGrid w:val="0"/>
                <w:kern w:val="0"/>
                <w:sz w:val="24"/>
                <w:szCs w:val="24"/>
                <w:highlight w:val="none"/>
              </w:rPr>
              <w:t>工业遗产活化利用率（%）</w:t>
            </w:r>
          </w:p>
        </w:tc>
        <w:tc>
          <w:tcPr>
            <w:tcW w:w="2678" w:type="pct"/>
            <w:tcBorders>
              <w:top w:val="single" w:color="auto" w:sz="4" w:space="0"/>
              <w:left w:val="single" w:color="auto" w:sz="4" w:space="0"/>
              <w:bottom w:val="single" w:color="auto" w:sz="4" w:space="0"/>
              <w:right w:val="single" w:color="auto" w:sz="4" w:space="0"/>
            </w:tcBorders>
            <w:vAlign w:val="center"/>
          </w:tcPr>
          <w:p w14:paraId="47BF3446">
            <w:pPr>
              <w:widowControl w:val="0"/>
              <w:kinsoku/>
              <w:autoSpaceDE/>
              <w:autoSpaceDN/>
              <w:adjustRightInd w:val="0"/>
              <w:snapToGrid w:val="0"/>
              <w:spacing w:before="21" w:beforeLines="5" w:after="21" w:afterLines="5" w:line="300" w:lineRule="atLeast"/>
              <w:ind w:firstLine="0" w:firstLineChars="0"/>
              <w:textAlignment w:val="auto"/>
              <w:rPr>
                <w:rFonts w:hint="eastAsia" w:ascii="Times New Roman" w:hAnsi="Times New Roman" w:eastAsia="仿宋_GB2312" w:cs="黑体"/>
                <w:snapToGrid w:val="0"/>
                <w:color w:val="000000"/>
                <w:kern w:val="0"/>
                <w:sz w:val="24"/>
                <w:szCs w:val="24"/>
                <w:highlight w:val="none"/>
                <w:lang w:val="en-US" w:eastAsia="zh-CN" w:bidi="ar-SA"/>
              </w:rPr>
            </w:pPr>
            <w:r>
              <w:rPr>
                <w:rFonts w:hint="eastAsia" w:ascii="Times New Roman" w:hAnsi="Times New Roman" w:eastAsia="仿宋_GB2312" w:cs="黑体"/>
                <w:snapToGrid w:val="0"/>
                <w:color w:val="000000"/>
                <w:kern w:val="0"/>
                <w:sz w:val="24"/>
                <w:szCs w:val="24"/>
                <w:highlight w:val="none"/>
                <w:lang w:eastAsia="zh-CN"/>
              </w:rPr>
              <w:t>已被活化利用的工业遗产数量（或建筑面积）占全部工业遗产总数（或总建筑面积）的比例。</w:t>
            </w:r>
          </w:p>
        </w:tc>
        <w:tc>
          <w:tcPr>
            <w:tcW w:w="630" w:type="pct"/>
            <w:tcBorders>
              <w:top w:val="single" w:color="auto" w:sz="4" w:space="0"/>
              <w:left w:val="single" w:color="auto" w:sz="4" w:space="0"/>
              <w:bottom w:val="nil"/>
              <w:right w:val="single" w:color="auto" w:sz="4" w:space="0"/>
            </w:tcBorders>
            <w:vAlign w:val="center"/>
          </w:tcPr>
          <w:p w14:paraId="116E99FB">
            <w:pPr>
              <w:widowControl w:val="0"/>
              <w:kinsoku/>
              <w:autoSpaceDE/>
              <w:autoSpaceDN/>
              <w:adjustRightInd w:val="0"/>
              <w:snapToGrid w:val="0"/>
              <w:spacing w:before="21" w:beforeLines="5" w:after="21" w:afterLines="5" w:line="300" w:lineRule="atLeast"/>
              <w:ind w:firstLine="0" w:firstLineChars="0"/>
              <w:jc w:val="center"/>
              <w:textAlignment w:val="auto"/>
              <w:rPr>
                <w:rFonts w:hint="eastAsia" w:ascii="Times New Roman" w:hAnsi="Times New Roman" w:eastAsia="仿宋_GB2312" w:cs="黑体"/>
                <w:snapToGrid w:val="0"/>
                <w:color w:val="000000"/>
                <w:kern w:val="0"/>
                <w:sz w:val="24"/>
                <w:szCs w:val="24"/>
                <w:highlight w:val="none"/>
                <w:lang w:val="en-US" w:eastAsia="zh-CN" w:bidi="ar-SA"/>
              </w:rPr>
            </w:pPr>
            <w:r>
              <w:rPr>
                <w:rFonts w:hint="eastAsia" w:ascii="Times New Roman" w:hAnsi="Times New Roman" w:eastAsia="仿宋_GB2312" w:cs="黑体"/>
                <w:snapToGrid w:val="0"/>
                <w:color w:val="000000"/>
                <w:kern w:val="0"/>
                <w:sz w:val="24"/>
                <w:szCs w:val="24"/>
                <w:highlight w:val="none"/>
                <w:lang w:val="en-US" w:eastAsia="zh-CN"/>
              </w:rPr>
              <w:t>市域</w:t>
            </w:r>
          </w:p>
        </w:tc>
      </w:tr>
      <w:tr w14:paraId="157016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499" w:type="pct"/>
            <w:vMerge w:val="restart"/>
            <w:tcBorders>
              <w:top w:val="single" w:color="auto" w:sz="4" w:space="0"/>
              <w:left w:val="single" w:color="auto" w:sz="4" w:space="0"/>
              <w:right w:val="single" w:color="auto" w:sz="4" w:space="0"/>
            </w:tcBorders>
            <w:vAlign w:val="center"/>
          </w:tcPr>
          <w:p w14:paraId="79FBD02B">
            <w:pPr>
              <w:widowControl w:val="0"/>
              <w:kinsoku/>
              <w:autoSpaceDE/>
              <w:autoSpaceDN/>
              <w:adjustRightInd w:val="0"/>
              <w:snapToGrid w:val="0"/>
              <w:spacing w:before="43" w:beforeLines="10" w:after="43" w:afterLines="10" w:line="300" w:lineRule="atLeast"/>
              <w:ind w:firstLine="0" w:firstLineChars="0"/>
              <w:jc w:val="center"/>
              <w:textAlignment w:val="auto"/>
              <w:rPr>
                <w:rFonts w:ascii="Times New Roman" w:hAnsi="Times New Roman" w:eastAsia="仿宋_GB2312" w:cs="黑体"/>
                <w:snapToGrid w:val="0"/>
                <w:color w:val="000000"/>
                <w:kern w:val="0"/>
                <w:sz w:val="24"/>
                <w:szCs w:val="24"/>
                <w:highlight w:val="none"/>
                <w:lang w:eastAsia="en-US"/>
              </w:rPr>
            </w:pPr>
            <w:r>
              <w:rPr>
                <w:rFonts w:hint="eastAsia" w:ascii="Times New Roman" w:hAnsi="Times New Roman" w:eastAsia="仿宋_GB2312" w:cs="黑体"/>
                <w:snapToGrid w:val="0"/>
                <w:color w:val="000000"/>
                <w:kern w:val="0"/>
                <w:sz w:val="24"/>
                <w:szCs w:val="24"/>
                <w:highlight w:val="none"/>
                <w:lang w:eastAsia="zh-CN"/>
              </w:rPr>
              <w:t>环境优美</w:t>
            </w:r>
          </w:p>
        </w:tc>
        <w:tc>
          <w:tcPr>
            <w:tcW w:w="294" w:type="pct"/>
            <w:tcBorders>
              <w:top w:val="single" w:color="auto" w:sz="4" w:space="0"/>
              <w:left w:val="single" w:color="auto" w:sz="4" w:space="0"/>
              <w:bottom w:val="single" w:color="auto" w:sz="4" w:space="0"/>
              <w:right w:val="single" w:color="auto" w:sz="4" w:space="0"/>
            </w:tcBorders>
            <w:vAlign w:val="center"/>
          </w:tcPr>
          <w:p w14:paraId="544A9915">
            <w:pPr>
              <w:keepNext w:val="0"/>
              <w:keepLines w:val="0"/>
              <w:pageBreakBefore w:val="0"/>
              <w:widowControl w:val="0"/>
              <w:numPr>
                <w:ilvl w:val="0"/>
                <w:numId w:val="4"/>
              </w:numPr>
              <w:tabs>
                <w:tab w:val="left" w:pos="312"/>
              </w:tabs>
              <w:kinsoku/>
              <w:wordWrap/>
              <w:overflowPunct/>
              <w:topLinePunct w:val="0"/>
              <w:autoSpaceDE/>
              <w:autoSpaceDN/>
              <w:bidi w:val="0"/>
              <w:adjustRightInd w:val="0"/>
              <w:snapToGrid w:val="0"/>
              <w:spacing w:before="43" w:beforeLines="10" w:after="43" w:afterLines="10" w:line="300" w:lineRule="atLeast"/>
              <w:ind w:firstLine="0" w:firstLineChars="0"/>
              <w:jc w:val="center"/>
              <w:textAlignment w:val="auto"/>
              <w:rPr>
                <w:rFonts w:ascii="Times New Roman" w:hAnsi="Times New Roman" w:eastAsia="仿宋_GB2312" w:cs="黑体"/>
                <w:snapToGrid w:val="0"/>
                <w:color w:val="000000"/>
                <w:kern w:val="2"/>
                <w:sz w:val="24"/>
                <w:szCs w:val="24"/>
                <w:highlight w:val="none"/>
                <w:lang w:eastAsia="en-US"/>
              </w:rPr>
            </w:pPr>
          </w:p>
        </w:tc>
        <w:tc>
          <w:tcPr>
            <w:tcW w:w="896" w:type="pct"/>
            <w:tcBorders>
              <w:top w:val="single" w:color="auto" w:sz="4" w:space="0"/>
              <w:left w:val="single" w:color="auto" w:sz="4" w:space="0"/>
              <w:bottom w:val="single" w:color="auto" w:sz="4" w:space="0"/>
              <w:right w:val="single" w:color="auto" w:sz="4" w:space="0"/>
            </w:tcBorders>
            <w:vAlign w:val="center"/>
          </w:tcPr>
          <w:p w14:paraId="298E0EFA">
            <w:pPr>
              <w:widowControl w:val="0"/>
              <w:kinsoku/>
              <w:autoSpaceDE/>
              <w:autoSpaceDN/>
              <w:adjustRightInd w:val="0"/>
              <w:snapToGrid w:val="0"/>
              <w:spacing w:before="43" w:beforeLines="10" w:after="43" w:afterLines="10" w:line="300" w:lineRule="atLeast"/>
              <w:ind w:firstLine="0" w:firstLineChars="0"/>
              <w:jc w:val="center"/>
              <w:textAlignment w:val="auto"/>
              <w:rPr>
                <w:rFonts w:ascii="Times New Roman" w:hAnsi="Times New Roman" w:eastAsia="仿宋_GB2312" w:cs="黑体"/>
                <w:snapToGrid w:val="0"/>
                <w:color w:val="000000"/>
                <w:kern w:val="0"/>
                <w:sz w:val="24"/>
                <w:szCs w:val="24"/>
                <w:highlight w:val="none"/>
                <w:lang w:eastAsia="en-US"/>
              </w:rPr>
            </w:pPr>
            <w:r>
              <w:rPr>
                <w:rFonts w:hint="eastAsia" w:ascii="Times New Roman" w:hAnsi="Times New Roman" w:eastAsia="仿宋_GB2312" w:cs="黑体"/>
                <w:snapToGrid w:val="0"/>
                <w:color w:val="000000"/>
                <w:kern w:val="0"/>
                <w:sz w:val="24"/>
                <w:szCs w:val="24"/>
                <w:highlight w:val="none"/>
                <w:lang w:eastAsia="en-US"/>
              </w:rPr>
              <w:t>环境空气质量达标</w:t>
            </w:r>
          </w:p>
        </w:tc>
        <w:tc>
          <w:tcPr>
            <w:tcW w:w="2678" w:type="pct"/>
            <w:tcBorders>
              <w:top w:val="single" w:color="auto" w:sz="4" w:space="0"/>
              <w:left w:val="single" w:color="auto" w:sz="4" w:space="0"/>
              <w:bottom w:val="single" w:color="auto" w:sz="4" w:space="0"/>
              <w:right w:val="single" w:color="auto" w:sz="4" w:space="0"/>
            </w:tcBorders>
            <w:vAlign w:val="center"/>
          </w:tcPr>
          <w:p w14:paraId="3E29DF54">
            <w:pPr>
              <w:widowControl w:val="0"/>
              <w:kinsoku/>
              <w:autoSpaceDE/>
              <w:autoSpaceDN/>
              <w:adjustRightInd w:val="0"/>
              <w:snapToGrid w:val="0"/>
              <w:spacing w:before="43" w:beforeLines="10" w:after="43" w:afterLines="10" w:line="300" w:lineRule="atLeast"/>
              <w:ind w:firstLine="0" w:firstLineChars="0"/>
              <w:textAlignment w:val="auto"/>
              <w:rPr>
                <w:rFonts w:ascii="Times New Roman" w:hAnsi="Times New Roman" w:eastAsia="仿宋_GB2312" w:cs="黑体"/>
                <w:snapToGrid w:val="0"/>
                <w:color w:val="000000"/>
                <w:kern w:val="0"/>
                <w:sz w:val="24"/>
                <w:szCs w:val="24"/>
                <w:highlight w:val="none"/>
                <w:lang w:eastAsia="zh-CN"/>
              </w:rPr>
            </w:pPr>
            <w:r>
              <w:rPr>
                <w:rFonts w:hint="eastAsia" w:ascii="Times New Roman" w:hAnsi="Times New Roman" w:eastAsia="仿宋_GB2312" w:cs="黑体"/>
                <w:snapToGrid w:val="0"/>
                <w:color w:val="000000"/>
                <w:kern w:val="0"/>
                <w:sz w:val="24"/>
                <w:szCs w:val="24"/>
                <w:highlight w:val="none"/>
                <w:lang w:eastAsia="zh-CN"/>
              </w:rPr>
              <w:t>环境空气质量达到《环境空气质量标准》（GB3095-2012）二级标准。</w:t>
            </w:r>
          </w:p>
        </w:tc>
        <w:tc>
          <w:tcPr>
            <w:tcW w:w="630" w:type="pct"/>
            <w:tcBorders>
              <w:top w:val="single" w:color="auto" w:sz="4" w:space="0"/>
              <w:left w:val="single" w:color="auto" w:sz="4" w:space="0"/>
              <w:bottom w:val="single" w:color="auto" w:sz="4" w:space="0"/>
              <w:right w:val="single" w:color="auto" w:sz="4" w:space="0"/>
            </w:tcBorders>
            <w:vAlign w:val="center"/>
          </w:tcPr>
          <w:p w14:paraId="6B6751B7">
            <w:pPr>
              <w:widowControl w:val="0"/>
              <w:kinsoku/>
              <w:autoSpaceDE/>
              <w:autoSpaceDN/>
              <w:adjustRightInd w:val="0"/>
              <w:snapToGrid w:val="0"/>
              <w:spacing w:before="43" w:beforeLines="10" w:after="43" w:afterLines="10" w:line="300" w:lineRule="atLeast"/>
              <w:ind w:firstLine="0" w:firstLineChars="0"/>
              <w:jc w:val="center"/>
              <w:textAlignment w:val="auto"/>
              <w:rPr>
                <w:rFonts w:hint="eastAsia" w:ascii="Times New Roman" w:hAnsi="Times New Roman" w:eastAsia="仿宋_GB2312" w:cs="黑体"/>
                <w:snapToGrid w:val="0"/>
                <w:color w:val="000000"/>
                <w:kern w:val="0"/>
                <w:sz w:val="24"/>
                <w:szCs w:val="24"/>
                <w:highlight w:val="none"/>
                <w:lang w:eastAsia="zh-CN"/>
              </w:rPr>
            </w:pPr>
            <w:r>
              <w:rPr>
                <w:rFonts w:hint="eastAsia" w:ascii="Times New Roman" w:hAnsi="Times New Roman" w:eastAsia="仿宋_GB2312" w:cs="黑体"/>
                <w:snapToGrid w:val="0"/>
                <w:color w:val="000000"/>
                <w:kern w:val="0"/>
                <w:sz w:val="24"/>
                <w:szCs w:val="24"/>
                <w:highlight w:val="none"/>
                <w:lang w:eastAsia="en-US"/>
              </w:rPr>
              <w:t>城区</w:t>
            </w:r>
          </w:p>
        </w:tc>
      </w:tr>
      <w:tr w14:paraId="4424AF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499" w:type="pct"/>
            <w:vMerge w:val="continue"/>
            <w:tcBorders>
              <w:left w:val="single" w:color="auto" w:sz="4" w:space="0"/>
              <w:right w:val="single" w:color="auto" w:sz="4" w:space="0"/>
            </w:tcBorders>
            <w:vAlign w:val="center"/>
          </w:tcPr>
          <w:p w14:paraId="2541CBC9">
            <w:pPr>
              <w:widowControl/>
              <w:kinsoku/>
              <w:autoSpaceDE/>
              <w:autoSpaceDN/>
              <w:adjustRightInd w:val="0"/>
              <w:snapToGrid w:val="0"/>
              <w:spacing w:before="10" w:after="10" w:line="300" w:lineRule="atLeast"/>
              <w:ind w:firstLine="0" w:firstLineChars="0"/>
              <w:jc w:val="left"/>
              <w:textAlignment w:val="auto"/>
              <w:rPr>
                <w:rFonts w:ascii="Times New Roman" w:hAnsi="Times New Roman" w:eastAsia="仿宋_GB2312" w:cs="黑体"/>
                <w:snapToGrid w:val="0"/>
                <w:color w:val="000000"/>
                <w:kern w:val="0"/>
                <w:sz w:val="24"/>
                <w:szCs w:val="24"/>
                <w:highlight w:val="none"/>
                <w:lang w:eastAsia="en-US"/>
              </w:rPr>
            </w:pPr>
          </w:p>
        </w:tc>
        <w:tc>
          <w:tcPr>
            <w:tcW w:w="294" w:type="pct"/>
            <w:tcBorders>
              <w:top w:val="single" w:color="auto" w:sz="4" w:space="0"/>
              <w:left w:val="single" w:color="auto" w:sz="4" w:space="0"/>
              <w:bottom w:val="single" w:color="auto" w:sz="4" w:space="0"/>
              <w:right w:val="single" w:color="auto" w:sz="4" w:space="0"/>
            </w:tcBorders>
            <w:vAlign w:val="center"/>
          </w:tcPr>
          <w:p w14:paraId="190777FA">
            <w:pPr>
              <w:keepNext w:val="0"/>
              <w:keepLines w:val="0"/>
              <w:pageBreakBefore w:val="0"/>
              <w:widowControl w:val="0"/>
              <w:numPr>
                <w:ilvl w:val="0"/>
                <w:numId w:val="4"/>
              </w:numPr>
              <w:tabs>
                <w:tab w:val="left" w:pos="312"/>
              </w:tabs>
              <w:kinsoku/>
              <w:wordWrap/>
              <w:overflowPunct/>
              <w:topLinePunct w:val="0"/>
              <w:autoSpaceDE/>
              <w:autoSpaceDN/>
              <w:bidi w:val="0"/>
              <w:adjustRightInd w:val="0"/>
              <w:snapToGrid w:val="0"/>
              <w:spacing w:before="43" w:beforeLines="10" w:after="43" w:afterLines="10" w:line="300" w:lineRule="atLeast"/>
              <w:ind w:firstLine="0" w:firstLineChars="0"/>
              <w:jc w:val="center"/>
              <w:textAlignment w:val="auto"/>
              <w:rPr>
                <w:rFonts w:ascii="Times New Roman" w:hAnsi="Times New Roman" w:eastAsia="仿宋_GB2312" w:cs="黑体"/>
                <w:snapToGrid w:val="0"/>
                <w:color w:val="000000"/>
                <w:kern w:val="2"/>
                <w:sz w:val="24"/>
                <w:szCs w:val="24"/>
                <w:highlight w:val="none"/>
                <w:lang w:eastAsia="zh-CN"/>
              </w:rPr>
            </w:pPr>
          </w:p>
        </w:tc>
        <w:tc>
          <w:tcPr>
            <w:tcW w:w="896" w:type="pct"/>
            <w:tcBorders>
              <w:top w:val="single" w:color="auto" w:sz="4" w:space="0"/>
              <w:left w:val="single" w:color="auto" w:sz="4" w:space="0"/>
              <w:bottom w:val="single" w:color="auto" w:sz="4" w:space="0"/>
              <w:right w:val="single" w:color="auto" w:sz="4" w:space="0"/>
            </w:tcBorders>
            <w:vAlign w:val="center"/>
          </w:tcPr>
          <w:p w14:paraId="2D1F1253">
            <w:pPr>
              <w:widowControl w:val="0"/>
              <w:kinsoku/>
              <w:autoSpaceDE/>
              <w:autoSpaceDN/>
              <w:adjustRightInd w:val="0"/>
              <w:snapToGrid w:val="0"/>
              <w:spacing w:before="43" w:beforeLines="10" w:after="43" w:afterLines="10" w:line="300" w:lineRule="atLeast"/>
              <w:ind w:firstLine="0" w:firstLineChars="0"/>
              <w:jc w:val="center"/>
              <w:textAlignment w:val="auto"/>
              <w:rPr>
                <w:rFonts w:ascii="Times New Roman" w:hAnsi="Times New Roman" w:eastAsia="仿宋_GB2312" w:cs="黑体"/>
                <w:snapToGrid w:val="0"/>
                <w:color w:val="000000"/>
                <w:kern w:val="0"/>
                <w:sz w:val="24"/>
                <w:szCs w:val="24"/>
                <w:highlight w:val="none"/>
                <w:lang w:eastAsia="zh-CN"/>
              </w:rPr>
            </w:pPr>
            <w:r>
              <w:rPr>
                <w:rFonts w:hint="eastAsia" w:ascii="Times New Roman" w:hAnsi="Times New Roman" w:eastAsia="仿宋_GB2312" w:cs="黑体"/>
                <w:snapToGrid w:val="0"/>
                <w:color w:val="000000"/>
                <w:kern w:val="0"/>
                <w:sz w:val="24"/>
                <w:szCs w:val="24"/>
                <w:highlight w:val="none"/>
                <w:lang w:eastAsia="zh-CN"/>
              </w:rPr>
              <w:t>美丽河湖建设比例（%）</w:t>
            </w:r>
          </w:p>
        </w:tc>
        <w:tc>
          <w:tcPr>
            <w:tcW w:w="2678" w:type="pct"/>
            <w:tcBorders>
              <w:top w:val="single" w:color="auto" w:sz="4" w:space="0"/>
              <w:left w:val="single" w:color="auto" w:sz="4" w:space="0"/>
              <w:bottom w:val="single" w:color="auto" w:sz="4" w:space="0"/>
              <w:right w:val="single" w:color="auto" w:sz="4" w:space="0"/>
            </w:tcBorders>
            <w:vAlign w:val="center"/>
          </w:tcPr>
          <w:p w14:paraId="2621AAE5">
            <w:pPr>
              <w:widowControl w:val="0"/>
              <w:kinsoku/>
              <w:autoSpaceDE/>
              <w:autoSpaceDN/>
              <w:adjustRightInd w:val="0"/>
              <w:snapToGrid w:val="0"/>
              <w:spacing w:before="43" w:beforeLines="10" w:after="43" w:afterLines="10" w:line="300" w:lineRule="atLeast"/>
              <w:ind w:firstLine="0" w:firstLineChars="0"/>
              <w:textAlignment w:val="auto"/>
              <w:rPr>
                <w:rFonts w:ascii="Times New Roman" w:hAnsi="Times New Roman" w:eastAsia="仿宋_GB2312" w:cs="黑体"/>
                <w:snapToGrid w:val="0"/>
                <w:color w:val="000000"/>
                <w:kern w:val="0"/>
                <w:sz w:val="24"/>
                <w:szCs w:val="24"/>
                <w:highlight w:val="none"/>
                <w:lang w:eastAsia="zh-CN"/>
              </w:rPr>
            </w:pPr>
            <w:r>
              <w:rPr>
                <w:rFonts w:hint="eastAsia" w:ascii="Times New Roman" w:hAnsi="Times New Roman" w:eastAsia="仿宋_GB2312" w:cs="黑体"/>
                <w:snapToGrid w:val="0"/>
                <w:color w:val="000000"/>
                <w:kern w:val="0"/>
                <w:sz w:val="24"/>
                <w:szCs w:val="24"/>
                <w:highlight w:val="none"/>
                <w:lang w:eastAsia="zh-CN"/>
              </w:rPr>
              <w:t>流经或位于城区的水体建成美丽河湖比例。</w:t>
            </w:r>
          </w:p>
        </w:tc>
        <w:tc>
          <w:tcPr>
            <w:tcW w:w="630" w:type="pct"/>
            <w:tcBorders>
              <w:top w:val="single" w:color="auto" w:sz="4" w:space="0"/>
              <w:left w:val="single" w:color="auto" w:sz="4" w:space="0"/>
              <w:bottom w:val="single" w:color="auto" w:sz="4" w:space="0"/>
              <w:right w:val="single" w:color="auto" w:sz="4" w:space="0"/>
            </w:tcBorders>
            <w:vAlign w:val="center"/>
          </w:tcPr>
          <w:p w14:paraId="3F7AAEAB">
            <w:pPr>
              <w:widowControl w:val="0"/>
              <w:kinsoku/>
              <w:autoSpaceDE/>
              <w:autoSpaceDN/>
              <w:adjustRightInd w:val="0"/>
              <w:snapToGrid w:val="0"/>
              <w:spacing w:before="43" w:beforeLines="10" w:after="43" w:afterLines="10" w:line="300" w:lineRule="atLeast"/>
              <w:ind w:firstLine="0" w:firstLineChars="0"/>
              <w:jc w:val="center"/>
              <w:textAlignment w:val="auto"/>
              <w:rPr>
                <w:rFonts w:ascii="Times New Roman" w:hAnsi="Times New Roman" w:eastAsia="仿宋_GB2312" w:cs="黑体"/>
                <w:snapToGrid w:val="0"/>
                <w:color w:val="000000"/>
                <w:kern w:val="0"/>
                <w:sz w:val="24"/>
                <w:szCs w:val="24"/>
                <w:highlight w:val="none"/>
                <w:lang w:eastAsia="zh-CN"/>
              </w:rPr>
            </w:pPr>
            <w:r>
              <w:rPr>
                <w:rFonts w:hint="eastAsia" w:ascii="Times New Roman" w:hAnsi="Times New Roman" w:eastAsia="仿宋_GB2312" w:cs="黑体"/>
                <w:snapToGrid w:val="0"/>
                <w:color w:val="000000"/>
                <w:kern w:val="0"/>
                <w:sz w:val="24"/>
                <w:szCs w:val="24"/>
                <w:highlight w:val="none"/>
                <w:lang w:eastAsia="zh-CN"/>
              </w:rPr>
              <w:t>城区</w:t>
            </w:r>
          </w:p>
        </w:tc>
      </w:tr>
      <w:tr w14:paraId="26A5C1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499" w:type="pct"/>
            <w:vMerge w:val="continue"/>
            <w:tcBorders>
              <w:left w:val="single" w:color="auto" w:sz="4" w:space="0"/>
              <w:right w:val="single" w:color="auto" w:sz="4" w:space="0"/>
            </w:tcBorders>
            <w:vAlign w:val="center"/>
          </w:tcPr>
          <w:p w14:paraId="73F0FD9A">
            <w:pPr>
              <w:widowControl/>
              <w:kinsoku/>
              <w:autoSpaceDE/>
              <w:autoSpaceDN/>
              <w:adjustRightInd w:val="0"/>
              <w:snapToGrid w:val="0"/>
              <w:spacing w:before="10" w:after="10" w:line="300" w:lineRule="atLeast"/>
              <w:ind w:firstLine="0" w:firstLineChars="0"/>
              <w:jc w:val="left"/>
              <w:textAlignment w:val="auto"/>
              <w:rPr>
                <w:rFonts w:ascii="Times New Roman" w:hAnsi="Times New Roman" w:eastAsia="仿宋_GB2312" w:cs="黑体"/>
                <w:snapToGrid w:val="0"/>
                <w:color w:val="000000"/>
                <w:kern w:val="0"/>
                <w:sz w:val="24"/>
                <w:szCs w:val="24"/>
                <w:highlight w:val="none"/>
                <w:lang w:eastAsia="en-US"/>
              </w:rPr>
            </w:pPr>
          </w:p>
        </w:tc>
        <w:tc>
          <w:tcPr>
            <w:tcW w:w="294" w:type="pct"/>
            <w:tcBorders>
              <w:top w:val="single" w:color="auto" w:sz="4" w:space="0"/>
              <w:left w:val="single" w:color="auto" w:sz="4" w:space="0"/>
              <w:bottom w:val="single" w:color="auto" w:sz="4" w:space="0"/>
              <w:right w:val="single" w:color="auto" w:sz="4" w:space="0"/>
            </w:tcBorders>
            <w:vAlign w:val="center"/>
          </w:tcPr>
          <w:p w14:paraId="0B05C2AE">
            <w:pPr>
              <w:keepNext w:val="0"/>
              <w:keepLines w:val="0"/>
              <w:pageBreakBefore w:val="0"/>
              <w:widowControl w:val="0"/>
              <w:numPr>
                <w:ilvl w:val="0"/>
                <w:numId w:val="4"/>
              </w:numPr>
              <w:tabs>
                <w:tab w:val="left" w:pos="312"/>
              </w:tabs>
              <w:kinsoku/>
              <w:wordWrap/>
              <w:overflowPunct/>
              <w:topLinePunct w:val="0"/>
              <w:autoSpaceDE/>
              <w:autoSpaceDN/>
              <w:bidi w:val="0"/>
              <w:adjustRightInd w:val="0"/>
              <w:snapToGrid w:val="0"/>
              <w:spacing w:before="43" w:beforeLines="10" w:after="43" w:afterLines="10" w:line="300" w:lineRule="atLeast"/>
              <w:ind w:firstLine="0" w:firstLineChars="0"/>
              <w:jc w:val="center"/>
              <w:textAlignment w:val="auto"/>
              <w:rPr>
                <w:rFonts w:ascii="Times New Roman" w:hAnsi="Times New Roman" w:eastAsia="仿宋_GB2312" w:cs="黑体"/>
                <w:snapToGrid w:val="0"/>
                <w:color w:val="000000"/>
                <w:kern w:val="2"/>
                <w:sz w:val="24"/>
                <w:szCs w:val="24"/>
                <w:highlight w:val="none"/>
                <w:lang w:eastAsia="zh-CN"/>
              </w:rPr>
            </w:pPr>
          </w:p>
        </w:tc>
        <w:tc>
          <w:tcPr>
            <w:tcW w:w="896" w:type="pct"/>
            <w:tcBorders>
              <w:top w:val="single" w:color="auto" w:sz="4" w:space="0"/>
              <w:left w:val="single" w:color="auto" w:sz="4" w:space="0"/>
              <w:bottom w:val="single" w:color="auto" w:sz="4" w:space="0"/>
              <w:right w:val="single" w:color="auto" w:sz="4" w:space="0"/>
            </w:tcBorders>
            <w:vAlign w:val="center"/>
          </w:tcPr>
          <w:p w14:paraId="69E3ED7C">
            <w:pPr>
              <w:widowControl w:val="0"/>
              <w:kinsoku/>
              <w:autoSpaceDE/>
              <w:autoSpaceDN/>
              <w:adjustRightInd w:val="0"/>
              <w:snapToGrid w:val="0"/>
              <w:spacing w:before="43" w:beforeLines="10" w:after="43" w:afterLines="10" w:line="300" w:lineRule="atLeast"/>
              <w:ind w:firstLine="0" w:firstLineChars="0"/>
              <w:jc w:val="center"/>
              <w:textAlignment w:val="auto"/>
              <w:rPr>
                <w:rFonts w:ascii="Times New Roman" w:hAnsi="Times New Roman" w:eastAsia="仿宋_GB2312" w:cs="黑体"/>
                <w:snapToGrid w:val="0"/>
                <w:color w:val="000000"/>
                <w:kern w:val="0"/>
                <w:sz w:val="24"/>
                <w:szCs w:val="24"/>
                <w:highlight w:val="none"/>
                <w:lang w:eastAsia="zh-CN"/>
              </w:rPr>
            </w:pPr>
            <w:r>
              <w:rPr>
                <w:rFonts w:hint="eastAsia" w:ascii="Times New Roman" w:hAnsi="Times New Roman" w:eastAsia="仿宋_GB2312" w:cs="黑体"/>
                <w:snapToGrid w:val="0"/>
                <w:color w:val="000000"/>
                <w:kern w:val="0"/>
                <w:sz w:val="24"/>
                <w:szCs w:val="24"/>
                <w:highlight w:val="none"/>
                <w:lang w:eastAsia="zh-CN"/>
              </w:rPr>
              <w:t>地表水水质优良比例（%）</w:t>
            </w:r>
          </w:p>
        </w:tc>
        <w:tc>
          <w:tcPr>
            <w:tcW w:w="2678" w:type="pct"/>
            <w:tcBorders>
              <w:top w:val="single" w:color="auto" w:sz="4" w:space="0"/>
              <w:left w:val="single" w:color="auto" w:sz="4" w:space="0"/>
              <w:bottom w:val="single" w:color="auto" w:sz="4" w:space="0"/>
              <w:right w:val="single" w:color="auto" w:sz="4" w:space="0"/>
            </w:tcBorders>
            <w:vAlign w:val="center"/>
          </w:tcPr>
          <w:p w14:paraId="0C09C498">
            <w:pPr>
              <w:widowControl w:val="0"/>
              <w:kinsoku/>
              <w:autoSpaceDE/>
              <w:autoSpaceDN/>
              <w:adjustRightInd w:val="0"/>
              <w:snapToGrid w:val="0"/>
              <w:spacing w:before="43" w:beforeLines="10" w:after="43" w:afterLines="10" w:line="300" w:lineRule="atLeast"/>
              <w:ind w:firstLine="0" w:firstLineChars="0"/>
              <w:textAlignment w:val="auto"/>
              <w:rPr>
                <w:rFonts w:ascii="Times New Roman" w:hAnsi="Times New Roman" w:eastAsia="仿宋_GB2312" w:cs="黑体"/>
                <w:snapToGrid w:val="0"/>
                <w:color w:val="000000"/>
                <w:kern w:val="0"/>
                <w:sz w:val="24"/>
                <w:szCs w:val="24"/>
                <w:highlight w:val="none"/>
                <w:lang w:eastAsia="zh-CN"/>
              </w:rPr>
            </w:pPr>
            <w:r>
              <w:rPr>
                <w:rFonts w:hint="eastAsia" w:ascii="Times New Roman" w:hAnsi="Times New Roman" w:eastAsia="仿宋_GB2312" w:cs="黑体"/>
                <w:snapToGrid w:val="0"/>
                <w:color w:val="000000"/>
                <w:kern w:val="0"/>
                <w:sz w:val="24"/>
                <w:szCs w:val="24"/>
                <w:highlight w:val="none"/>
                <w:lang w:eastAsia="zh-CN"/>
              </w:rPr>
              <w:t>国控地表水环境质量监测断面水质达到或好于Ⅲ类的比例。</w:t>
            </w:r>
          </w:p>
        </w:tc>
        <w:tc>
          <w:tcPr>
            <w:tcW w:w="630" w:type="pct"/>
            <w:tcBorders>
              <w:top w:val="single" w:color="auto" w:sz="4" w:space="0"/>
              <w:left w:val="single" w:color="auto" w:sz="4" w:space="0"/>
              <w:bottom w:val="single" w:color="auto" w:sz="4" w:space="0"/>
              <w:right w:val="single" w:color="auto" w:sz="4" w:space="0"/>
            </w:tcBorders>
            <w:vAlign w:val="center"/>
          </w:tcPr>
          <w:p w14:paraId="5B8F621D">
            <w:pPr>
              <w:widowControl w:val="0"/>
              <w:kinsoku/>
              <w:autoSpaceDE/>
              <w:autoSpaceDN/>
              <w:adjustRightInd w:val="0"/>
              <w:snapToGrid w:val="0"/>
              <w:spacing w:before="43" w:beforeLines="10" w:after="43" w:afterLines="10" w:line="300" w:lineRule="atLeast"/>
              <w:ind w:firstLine="0" w:firstLineChars="0"/>
              <w:jc w:val="center"/>
              <w:textAlignment w:val="auto"/>
              <w:rPr>
                <w:rFonts w:hint="eastAsia" w:ascii="Times New Roman" w:hAnsi="Times New Roman" w:eastAsia="仿宋_GB2312" w:cs="黑体"/>
                <w:snapToGrid w:val="0"/>
                <w:color w:val="000000"/>
                <w:kern w:val="0"/>
                <w:sz w:val="24"/>
                <w:szCs w:val="24"/>
                <w:highlight w:val="none"/>
                <w:lang w:eastAsia="zh-CN"/>
              </w:rPr>
            </w:pPr>
            <w:r>
              <w:rPr>
                <w:rFonts w:hint="eastAsia" w:ascii="Times New Roman" w:hAnsi="Times New Roman" w:eastAsia="仿宋_GB2312" w:cs="黑体"/>
                <w:snapToGrid w:val="0"/>
                <w:color w:val="000000"/>
                <w:kern w:val="0"/>
                <w:sz w:val="24"/>
                <w:szCs w:val="24"/>
                <w:highlight w:val="none"/>
                <w:lang w:eastAsia="en-US"/>
              </w:rPr>
              <w:t>市域</w:t>
            </w:r>
          </w:p>
        </w:tc>
      </w:tr>
      <w:tr w14:paraId="3E554D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499" w:type="pct"/>
            <w:vMerge w:val="continue"/>
            <w:tcBorders>
              <w:left w:val="single" w:color="auto" w:sz="4" w:space="0"/>
              <w:right w:val="single" w:color="auto" w:sz="4" w:space="0"/>
            </w:tcBorders>
            <w:vAlign w:val="center"/>
          </w:tcPr>
          <w:p w14:paraId="744AD398">
            <w:pPr>
              <w:widowControl/>
              <w:kinsoku/>
              <w:autoSpaceDE/>
              <w:autoSpaceDN/>
              <w:adjustRightInd w:val="0"/>
              <w:snapToGrid w:val="0"/>
              <w:spacing w:before="10" w:after="10" w:line="300" w:lineRule="atLeast"/>
              <w:ind w:firstLine="0" w:firstLineChars="0"/>
              <w:jc w:val="left"/>
              <w:textAlignment w:val="auto"/>
              <w:rPr>
                <w:rFonts w:ascii="Times New Roman" w:hAnsi="Times New Roman" w:eastAsia="仿宋_GB2312" w:cs="黑体"/>
                <w:snapToGrid w:val="0"/>
                <w:color w:val="000000"/>
                <w:kern w:val="0"/>
                <w:sz w:val="24"/>
                <w:szCs w:val="24"/>
                <w:highlight w:val="none"/>
                <w:lang w:eastAsia="en-US"/>
              </w:rPr>
            </w:pPr>
          </w:p>
        </w:tc>
        <w:tc>
          <w:tcPr>
            <w:tcW w:w="294" w:type="pct"/>
            <w:tcBorders>
              <w:top w:val="single" w:color="auto" w:sz="4" w:space="0"/>
              <w:left w:val="single" w:color="auto" w:sz="4" w:space="0"/>
              <w:bottom w:val="single" w:color="auto" w:sz="4" w:space="0"/>
              <w:right w:val="single" w:color="auto" w:sz="4" w:space="0"/>
            </w:tcBorders>
            <w:vAlign w:val="center"/>
          </w:tcPr>
          <w:p w14:paraId="48D3DDDD">
            <w:pPr>
              <w:keepNext w:val="0"/>
              <w:keepLines w:val="0"/>
              <w:pageBreakBefore w:val="0"/>
              <w:widowControl w:val="0"/>
              <w:numPr>
                <w:ilvl w:val="0"/>
                <w:numId w:val="4"/>
              </w:numPr>
              <w:tabs>
                <w:tab w:val="left" w:pos="312"/>
              </w:tabs>
              <w:kinsoku/>
              <w:wordWrap/>
              <w:overflowPunct/>
              <w:topLinePunct w:val="0"/>
              <w:autoSpaceDE/>
              <w:autoSpaceDN/>
              <w:bidi w:val="0"/>
              <w:adjustRightInd w:val="0"/>
              <w:snapToGrid w:val="0"/>
              <w:spacing w:before="43" w:beforeLines="10" w:after="43" w:afterLines="10" w:line="300" w:lineRule="atLeast"/>
              <w:ind w:firstLine="0" w:firstLineChars="0"/>
              <w:jc w:val="center"/>
              <w:textAlignment w:val="auto"/>
              <w:rPr>
                <w:rFonts w:ascii="Times New Roman" w:hAnsi="Times New Roman" w:eastAsia="仿宋_GB2312" w:cs="黑体"/>
                <w:snapToGrid w:val="0"/>
                <w:color w:val="000000"/>
                <w:kern w:val="2"/>
                <w:sz w:val="24"/>
                <w:szCs w:val="24"/>
                <w:highlight w:val="none"/>
                <w:lang w:eastAsia="zh-CN"/>
              </w:rPr>
            </w:pPr>
          </w:p>
        </w:tc>
        <w:tc>
          <w:tcPr>
            <w:tcW w:w="896" w:type="pct"/>
            <w:tcBorders>
              <w:top w:val="single" w:color="auto" w:sz="4" w:space="0"/>
              <w:left w:val="single" w:color="auto" w:sz="4" w:space="0"/>
              <w:bottom w:val="single" w:color="auto" w:sz="4" w:space="0"/>
              <w:right w:val="single" w:color="auto" w:sz="4" w:space="0"/>
            </w:tcBorders>
            <w:vAlign w:val="center"/>
          </w:tcPr>
          <w:p w14:paraId="31329EA7">
            <w:pPr>
              <w:widowControl w:val="0"/>
              <w:kinsoku/>
              <w:autoSpaceDE/>
              <w:autoSpaceDN/>
              <w:adjustRightInd w:val="0"/>
              <w:snapToGrid w:val="0"/>
              <w:spacing w:before="43" w:beforeLines="10" w:after="43" w:afterLines="10" w:line="300" w:lineRule="atLeast"/>
              <w:ind w:firstLine="0" w:firstLineChars="0"/>
              <w:jc w:val="center"/>
              <w:textAlignment w:val="auto"/>
              <w:rPr>
                <w:rFonts w:ascii="Times New Roman" w:hAnsi="Times New Roman" w:eastAsia="仿宋_GB2312" w:cs="黑体"/>
                <w:snapToGrid w:val="0"/>
                <w:color w:val="000000"/>
                <w:kern w:val="0"/>
                <w:sz w:val="24"/>
                <w:szCs w:val="24"/>
                <w:highlight w:val="none"/>
                <w:lang w:eastAsia="zh-CN"/>
              </w:rPr>
            </w:pPr>
            <w:r>
              <w:rPr>
                <w:rFonts w:hint="eastAsia" w:ascii="Times New Roman" w:hAnsi="Times New Roman" w:eastAsia="仿宋_GB2312" w:cs="黑体"/>
                <w:snapToGrid w:val="0"/>
                <w:color w:val="000000"/>
                <w:kern w:val="0"/>
                <w:sz w:val="24"/>
                <w:szCs w:val="24"/>
                <w:highlight w:val="none"/>
                <w:lang w:eastAsia="en-US"/>
              </w:rPr>
              <w:t>城市生活污水集中收集率（%）</w:t>
            </w:r>
          </w:p>
        </w:tc>
        <w:tc>
          <w:tcPr>
            <w:tcW w:w="2678" w:type="pct"/>
            <w:tcBorders>
              <w:top w:val="single" w:color="auto" w:sz="4" w:space="0"/>
              <w:left w:val="single" w:color="auto" w:sz="4" w:space="0"/>
              <w:bottom w:val="single" w:color="auto" w:sz="4" w:space="0"/>
              <w:right w:val="single" w:color="auto" w:sz="4" w:space="0"/>
            </w:tcBorders>
            <w:vAlign w:val="center"/>
          </w:tcPr>
          <w:p w14:paraId="325B2BEB">
            <w:pPr>
              <w:widowControl w:val="0"/>
              <w:kinsoku/>
              <w:autoSpaceDE/>
              <w:autoSpaceDN/>
              <w:adjustRightInd w:val="0"/>
              <w:snapToGrid w:val="0"/>
              <w:spacing w:before="43" w:beforeLines="10" w:after="43" w:afterLines="10" w:line="300" w:lineRule="atLeast"/>
              <w:ind w:firstLine="0" w:firstLineChars="0"/>
              <w:textAlignment w:val="auto"/>
              <w:rPr>
                <w:rFonts w:ascii="Times New Roman" w:hAnsi="Times New Roman" w:eastAsia="仿宋_GB2312" w:cs="黑体"/>
                <w:snapToGrid w:val="0"/>
                <w:color w:val="000000"/>
                <w:kern w:val="0"/>
                <w:sz w:val="24"/>
                <w:szCs w:val="24"/>
                <w:highlight w:val="none"/>
                <w:lang w:eastAsia="zh-CN"/>
              </w:rPr>
            </w:pPr>
            <w:r>
              <w:rPr>
                <w:rFonts w:hint="eastAsia" w:ascii="Times New Roman" w:hAnsi="Times New Roman" w:eastAsia="仿宋_GB2312" w:cs="黑体"/>
                <w:snapToGrid w:val="0"/>
                <w:color w:val="000000"/>
                <w:kern w:val="0"/>
                <w:sz w:val="24"/>
                <w:szCs w:val="24"/>
                <w:highlight w:val="none"/>
                <w:lang w:eastAsia="zh-CN"/>
              </w:rPr>
              <w:t>报告期内向污水处理厂排水的城区人口占城区用水总人口的比例。</w:t>
            </w:r>
          </w:p>
        </w:tc>
        <w:tc>
          <w:tcPr>
            <w:tcW w:w="630" w:type="pct"/>
            <w:tcBorders>
              <w:top w:val="single" w:color="auto" w:sz="4" w:space="0"/>
              <w:left w:val="single" w:color="auto" w:sz="4" w:space="0"/>
              <w:bottom w:val="single" w:color="auto" w:sz="4" w:space="0"/>
              <w:right w:val="single" w:color="auto" w:sz="4" w:space="0"/>
            </w:tcBorders>
            <w:vAlign w:val="center"/>
          </w:tcPr>
          <w:p w14:paraId="1A326FB8">
            <w:pPr>
              <w:widowControl w:val="0"/>
              <w:kinsoku/>
              <w:autoSpaceDE/>
              <w:autoSpaceDN/>
              <w:adjustRightInd w:val="0"/>
              <w:snapToGrid w:val="0"/>
              <w:spacing w:before="43" w:beforeLines="10" w:after="43" w:afterLines="10" w:line="300" w:lineRule="atLeast"/>
              <w:ind w:firstLine="0" w:firstLineChars="0"/>
              <w:jc w:val="center"/>
              <w:textAlignment w:val="auto"/>
              <w:rPr>
                <w:rFonts w:hint="eastAsia" w:ascii="Times New Roman" w:hAnsi="Times New Roman" w:eastAsia="仿宋_GB2312" w:cs="黑体"/>
                <w:snapToGrid w:val="0"/>
                <w:color w:val="000000"/>
                <w:kern w:val="0"/>
                <w:sz w:val="24"/>
                <w:szCs w:val="24"/>
                <w:highlight w:val="none"/>
                <w:lang w:eastAsia="zh-CN"/>
              </w:rPr>
            </w:pPr>
            <w:r>
              <w:rPr>
                <w:rFonts w:hint="eastAsia" w:ascii="Times New Roman" w:hAnsi="Times New Roman" w:eastAsia="仿宋_GB2312" w:cs="黑体"/>
                <w:snapToGrid w:val="0"/>
                <w:color w:val="000000"/>
                <w:kern w:val="0"/>
                <w:sz w:val="24"/>
                <w:szCs w:val="24"/>
                <w:highlight w:val="none"/>
                <w:lang w:eastAsia="en-US"/>
              </w:rPr>
              <w:t>城区</w:t>
            </w:r>
          </w:p>
        </w:tc>
      </w:tr>
      <w:tr w14:paraId="44F510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499" w:type="pct"/>
            <w:vMerge w:val="continue"/>
            <w:tcBorders>
              <w:left w:val="single" w:color="auto" w:sz="4" w:space="0"/>
              <w:right w:val="single" w:color="auto" w:sz="4" w:space="0"/>
            </w:tcBorders>
            <w:vAlign w:val="center"/>
          </w:tcPr>
          <w:p w14:paraId="75D9A101">
            <w:pPr>
              <w:widowControl/>
              <w:kinsoku/>
              <w:autoSpaceDE/>
              <w:autoSpaceDN/>
              <w:adjustRightInd w:val="0"/>
              <w:snapToGrid w:val="0"/>
              <w:spacing w:before="10" w:after="10" w:line="300" w:lineRule="atLeast"/>
              <w:ind w:firstLine="0" w:firstLineChars="0"/>
              <w:jc w:val="left"/>
              <w:textAlignment w:val="auto"/>
              <w:rPr>
                <w:rFonts w:ascii="Times New Roman" w:hAnsi="Times New Roman" w:eastAsia="仿宋_GB2312" w:cs="黑体"/>
                <w:snapToGrid w:val="0"/>
                <w:color w:val="000000"/>
                <w:kern w:val="0"/>
                <w:sz w:val="24"/>
                <w:szCs w:val="24"/>
                <w:highlight w:val="none"/>
                <w:lang w:eastAsia="en-US"/>
              </w:rPr>
            </w:pPr>
          </w:p>
        </w:tc>
        <w:tc>
          <w:tcPr>
            <w:tcW w:w="294" w:type="pct"/>
            <w:tcBorders>
              <w:top w:val="single" w:color="auto" w:sz="4" w:space="0"/>
              <w:left w:val="single" w:color="auto" w:sz="4" w:space="0"/>
              <w:bottom w:val="single" w:color="auto" w:sz="4" w:space="0"/>
              <w:right w:val="single" w:color="auto" w:sz="4" w:space="0"/>
            </w:tcBorders>
            <w:vAlign w:val="center"/>
          </w:tcPr>
          <w:p w14:paraId="38A0C24B">
            <w:pPr>
              <w:keepNext w:val="0"/>
              <w:keepLines w:val="0"/>
              <w:pageBreakBefore w:val="0"/>
              <w:widowControl w:val="0"/>
              <w:numPr>
                <w:ilvl w:val="0"/>
                <w:numId w:val="4"/>
              </w:numPr>
              <w:tabs>
                <w:tab w:val="left" w:pos="312"/>
              </w:tabs>
              <w:kinsoku/>
              <w:wordWrap/>
              <w:overflowPunct/>
              <w:topLinePunct w:val="0"/>
              <w:autoSpaceDE/>
              <w:autoSpaceDN/>
              <w:bidi w:val="0"/>
              <w:adjustRightInd w:val="0"/>
              <w:snapToGrid w:val="0"/>
              <w:spacing w:before="43" w:beforeLines="10" w:after="43" w:afterLines="10" w:line="300" w:lineRule="atLeast"/>
              <w:ind w:firstLine="0" w:firstLineChars="0"/>
              <w:jc w:val="center"/>
              <w:textAlignment w:val="auto"/>
              <w:rPr>
                <w:rFonts w:ascii="Times New Roman" w:hAnsi="Times New Roman" w:eastAsia="仿宋_GB2312" w:cs="黑体"/>
                <w:snapToGrid w:val="0"/>
                <w:color w:val="000000"/>
                <w:kern w:val="2"/>
                <w:sz w:val="24"/>
                <w:szCs w:val="24"/>
                <w:highlight w:val="none"/>
                <w:lang w:eastAsia="zh-CN"/>
              </w:rPr>
            </w:pPr>
          </w:p>
        </w:tc>
        <w:tc>
          <w:tcPr>
            <w:tcW w:w="896" w:type="pct"/>
            <w:tcBorders>
              <w:top w:val="single" w:color="auto" w:sz="4" w:space="0"/>
              <w:left w:val="single" w:color="auto" w:sz="4" w:space="0"/>
              <w:bottom w:val="single" w:color="auto" w:sz="4" w:space="0"/>
              <w:right w:val="single" w:color="auto" w:sz="4" w:space="0"/>
            </w:tcBorders>
            <w:vAlign w:val="center"/>
          </w:tcPr>
          <w:p w14:paraId="0B2EB0FB">
            <w:pPr>
              <w:widowControl w:val="0"/>
              <w:kinsoku/>
              <w:autoSpaceDE/>
              <w:autoSpaceDN/>
              <w:adjustRightInd w:val="0"/>
              <w:snapToGrid w:val="0"/>
              <w:spacing w:before="43" w:beforeLines="10" w:after="43" w:afterLines="10" w:line="300" w:lineRule="atLeast"/>
              <w:ind w:firstLine="0" w:firstLineChars="0"/>
              <w:jc w:val="center"/>
              <w:textAlignment w:val="auto"/>
              <w:rPr>
                <w:rFonts w:ascii="Times New Roman" w:hAnsi="Times New Roman" w:eastAsia="仿宋_GB2312" w:cs="黑体"/>
                <w:snapToGrid w:val="0"/>
                <w:color w:val="000000"/>
                <w:kern w:val="0"/>
                <w:sz w:val="24"/>
                <w:szCs w:val="24"/>
                <w:highlight w:val="none"/>
                <w:lang w:eastAsia="zh-CN"/>
              </w:rPr>
            </w:pPr>
            <w:r>
              <w:rPr>
                <w:rFonts w:hint="eastAsia" w:ascii="Times New Roman" w:hAnsi="Times New Roman" w:eastAsia="仿宋_GB2312" w:cs="黑体"/>
                <w:snapToGrid w:val="0"/>
                <w:color w:val="000000"/>
                <w:kern w:val="0"/>
                <w:sz w:val="24"/>
                <w:szCs w:val="24"/>
                <w:highlight w:val="none"/>
                <w:lang w:eastAsia="zh-CN"/>
              </w:rPr>
              <w:t>“无废城市”建设</w:t>
            </w:r>
            <w:r>
              <w:rPr>
                <w:rFonts w:hint="eastAsia" w:ascii="Times New Roman" w:hAnsi="Times New Roman" w:eastAsia="仿宋_GB2312" w:cs="黑体"/>
                <w:snapToGrid w:val="0"/>
                <w:color w:val="000000"/>
                <w:kern w:val="0"/>
                <w:sz w:val="24"/>
                <w:szCs w:val="24"/>
                <w:highlight w:val="none"/>
                <w:lang w:val="en-US" w:eastAsia="zh-CN"/>
              </w:rPr>
              <w:t>进展</w:t>
            </w:r>
            <w:r>
              <w:rPr>
                <w:rFonts w:hint="eastAsia" w:ascii="Times New Roman" w:hAnsi="Times New Roman" w:eastAsia="仿宋_GB2312" w:cs="黑体"/>
                <w:snapToGrid w:val="0"/>
                <w:color w:val="000000"/>
                <w:kern w:val="0"/>
                <w:sz w:val="24"/>
                <w:szCs w:val="24"/>
                <w:highlight w:val="none"/>
                <w:lang w:eastAsia="zh-CN"/>
              </w:rPr>
              <w:t>评价分数（分）</w:t>
            </w:r>
          </w:p>
        </w:tc>
        <w:tc>
          <w:tcPr>
            <w:tcW w:w="2678" w:type="pct"/>
            <w:tcBorders>
              <w:top w:val="single" w:color="auto" w:sz="4" w:space="0"/>
              <w:left w:val="single" w:color="auto" w:sz="4" w:space="0"/>
              <w:bottom w:val="single" w:color="auto" w:sz="4" w:space="0"/>
              <w:right w:val="single" w:color="auto" w:sz="4" w:space="0"/>
            </w:tcBorders>
            <w:vAlign w:val="center"/>
          </w:tcPr>
          <w:p w14:paraId="4447AF06">
            <w:pPr>
              <w:widowControl w:val="0"/>
              <w:kinsoku/>
              <w:autoSpaceDE/>
              <w:autoSpaceDN/>
              <w:adjustRightInd w:val="0"/>
              <w:snapToGrid w:val="0"/>
              <w:spacing w:before="43" w:beforeLines="10" w:after="43" w:afterLines="10" w:line="300" w:lineRule="atLeast"/>
              <w:ind w:firstLine="0" w:firstLineChars="0"/>
              <w:textAlignment w:val="auto"/>
              <w:rPr>
                <w:rFonts w:ascii="Times New Roman" w:hAnsi="Times New Roman" w:eastAsia="仿宋_GB2312" w:cs="黑体"/>
                <w:snapToGrid w:val="0"/>
                <w:color w:val="000000"/>
                <w:kern w:val="0"/>
                <w:sz w:val="24"/>
                <w:szCs w:val="24"/>
                <w:highlight w:val="none"/>
                <w:lang w:eastAsia="zh-CN"/>
              </w:rPr>
            </w:pPr>
            <w:r>
              <w:rPr>
                <w:rFonts w:hint="eastAsia" w:ascii="Times New Roman" w:hAnsi="Times New Roman" w:eastAsia="仿宋_GB2312" w:cs="黑体"/>
                <w:snapToGrid w:val="0"/>
                <w:color w:val="000000"/>
                <w:kern w:val="0"/>
                <w:sz w:val="24"/>
                <w:szCs w:val="24"/>
                <w:highlight w:val="none"/>
                <w:lang w:eastAsia="zh-CN"/>
              </w:rPr>
              <w:t>依据《“无废城市”建设进展评价办法（试行）》计算得到的评价分数。</w:t>
            </w:r>
          </w:p>
        </w:tc>
        <w:tc>
          <w:tcPr>
            <w:tcW w:w="630" w:type="pct"/>
            <w:tcBorders>
              <w:top w:val="single" w:color="auto" w:sz="4" w:space="0"/>
              <w:left w:val="single" w:color="auto" w:sz="4" w:space="0"/>
              <w:bottom w:val="single" w:color="auto" w:sz="4" w:space="0"/>
              <w:right w:val="single" w:color="auto" w:sz="4" w:space="0"/>
            </w:tcBorders>
            <w:vAlign w:val="center"/>
          </w:tcPr>
          <w:p w14:paraId="719E42BD">
            <w:pPr>
              <w:widowControl w:val="0"/>
              <w:kinsoku/>
              <w:autoSpaceDE/>
              <w:autoSpaceDN/>
              <w:adjustRightInd w:val="0"/>
              <w:snapToGrid w:val="0"/>
              <w:spacing w:before="43" w:beforeLines="10" w:after="43" w:afterLines="10" w:line="300" w:lineRule="atLeast"/>
              <w:ind w:firstLine="0" w:firstLineChars="0"/>
              <w:jc w:val="center"/>
              <w:textAlignment w:val="auto"/>
              <w:rPr>
                <w:rFonts w:hint="eastAsia" w:ascii="Times New Roman" w:hAnsi="Times New Roman" w:eastAsia="仿宋_GB2312" w:cs="黑体"/>
                <w:snapToGrid w:val="0"/>
                <w:color w:val="000000"/>
                <w:kern w:val="0"/>
                <w:sz w:val="24"/>
                <w:szCs w:val="24"/>
                <w:highlight w:val="none"/>
                <w:lang w:eastAsia="zh-CN"/>
              </w:rPr>
            </w:pPr>
            <w:r>
              <w:rPr>
                <w:rFonts w:hint="eastAsia" w:ascii="Times New Roman" w:hAnsi="Times New Roman" w:eastAsia="仿宋_GB2312" w:cs="黑体"/>
                <w:snapToGrid w:val="0"/>
                <w:color w:val="000000"/>
                <w:kern w:val="0"/>
                <w:sz w:val="24"/>
                <w:szCs w:val="24"/>
                <w:highlight w:val="none"/>
                <w:lang w:eastAsia="en-US"/>
              </w:rPr>
              <w:t>市域</w:t>
            </w:r>
          </w:p>
        </w:tc>
      </w:tr>
      <w:tr w14:paraId="7F774B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499" w:type="pct"/>
            <w:vMerge w:val="continue"/>
            <w:tcBorders>
              <w:left w:val="single" w:color="auto" w:sz="4" w:space="0"/>
              <w:right w:val="single" w:color="auto" w:sz="4" w:space="0"/>
            </w:tcBorders>
            <w:vAlign w:val="center"/>
          </w:tcPr>
          <w:p w14:paraId="296035B7">
            <w:pPr>
              <w:widowControl/>
              <w:kinsoku/>
              <w:autoSpaceDE/>
              <w:autoSpaceDN/>
              <w:adjustRightInd w:val="0"/>
              <w:snapToGrid w:val="0"/>
              <w:spacing w:before="10" w:after="10" w:line="300" w:lineRule="atLeast"/>
              <w:ind w:firstLine="0" w:firstLineChars="0"/>
              <w:jc w:val="left"/>
              <w:textAlignment w:val="auto"/>
              <w:rPr>
                <w:rFonts w:ascii="Times New Roman" w:hAnsi="Times New Roman" w:eastAsia="仿宋_GB2312" w:cs="黑体"/>
                <w:snapToGrid w:val="0"/>
                <w:color w:val="000000"/>
                <w:kern w:val="0"/>
                <w:sz w:val="24"/>
                <w:szCs w:val="24"/>
                <w:highlight w:val="none"/>
                <w:lang w:eastAsia="en-US"/>
              </w:rPr>
            </w:pPr>
          </w:p>
        </w:tc>
        <w:tc>
          <w:tcPr>
            <w:tcW w:w="294" w:type="pct"/>
            <w:tcBorders>
              <w:top w:val="single" w:color="auto" w:sz="4" w:space="0"/>
              <w:left w:val="single" w:color="auto" w:sz="4" w:space="0"/>
              <w:bottom w:val="single" w:color="auto" w:sz="4" w:space="0"/>
              <w:right w:val="single" w:color="auto" w:sz="4" w:space="0"/>
            </w:tcBorders>
            <w:vAlign w:val="center"/>
          </w:tcPr>
          <w:p w14:paraId="3B5DE543">
            <w:pPr>
              <w:keepNext w:val="0"/>
              <w:keepLines w:val="0"/>
              <w:pageBreakBefore w:val="0"/>
              <w:widowControl w:val="0"/>
              <w:numPr>
                <w:ilvl w:val="0"/>
                <w:numId w:val="4"/>
              </w:numPr>
              <w:tabs>
                <w:tab w:val="left" w:pos="312"/>
              </w:tabs>
              <w:kinsoku/>
              <w:wordWrap/>
              <w:overflowPunct/>
              <w:topLinePunct w:val="0"/>
              <w:autoSpaceDE/>
              <w:autoSpaceDN/>
              <w:bidi w:val="0"/>
              <w:adjustRightInd w:val="0"/>
              <w:snapToGrid w:val="0"/>
              <w:spacing w:before="43" w:beforeLines="10" w:after="43" w:afterLines="10" w:line="300" w:lineRule="atLeast"/>
              <w:ind w:firstLine="0" w:firstLineChars="0"/>
              <w:jc w:val="center"/>
              <w:textAlignment w:val="auto"/>
              <w:rPr>
                <w:rFonts w:ascii="Times New Roman" w:hAnsi="Times New Roman" w:eastAsia="仿宋_GB2312" w:cs="黑体"/>
                <w:snapToGrid w:val="0"/>
                <w:color w:val="000000"/>
                <w:kern w:val="2"/>
                <w:sz w:val="24"/>
                <w:szCs w:val="24"/>
                <w:highlight w:val="none"/>
                <w:lang w:eastAsia="zh-CN"/>
              </w:rPr>
            </w:pPr>
          </w:p>
        </w:tc>
        <w:tc>
          <w:tcPr>
            <w:tcW w:w="896" w:type="pct"/>
            <w:tcBorders>
              <w:top w:val="single" w:color="auto" w:sz="4" w:space="0"/>
              <w:left w:val="single" w:color="auto" w:sz="4" w:space="0"/>
              <w:bottom w:val="single" w:color="auto" w:sz="4" w:space="0"/>
              <w:right w:val="single" w:color="auto" w:sz="4" w:space="0"/>
            </w:tcBorders>
            <w:vAlign w:val="center"/>
          </w:tcPr>
          <w:p w14:paraId="6C47681D">
            <w:pPr>
              <w:widowControl w:val="0"/>
              <w:kinsoku/>
              <w:autoSpaceDE/>
              <w:autoSpaceDN/>
              <w:adjustRightInd w:val="0"/>
              <w:snapToGrid w:val="0"/>
              <w:spacing w:before="43" w:beforeLines="10" w:after="43" w:afterLines="10" w:line="300" w:lineRule="atLeast"/>
              <w:ind w:firstLine="0" w:firstLineChars="0"/>
              <w:jc w:val="center"/>
              <w:textAlignment w:val="auto"/>
              <w:rPr>
                <w:rFonts w:ascii="Times New Roman" w:hAnsi="Times New Roman" w:eastAsia="仿宋_GB2312" w:cs="黑体"/>
                <w:snapToGrid w:val="0"/>
                <w:color w:val="000000"/>
                <w:kern w:val="0"/>
                <w:sz w:val="24"/>
                <w:szCs w:val="24"/>
                <w:highlight w:val="none"/>
                <w:lang w:eastAsia="zh-CN"/>
              </w:rPr>
            </w:pPr>
            <w:r>
              <w:rPr>
                <w:rFonts w:hint="eastAsia" w:ascii="Times New Roman" w:hAnsi="Times New Roman" w:eastAsia="仿宋_GB2312" w:cs="黑体"/>
                <w:snapToGrid w:val="0"/>
                <w:color w:val="000000"/>
                <w:kern w:val="0"/>
                <w:sz w:val="24"/>
                <w:szCs w:val="24"/>
                <w:highlight w:val="none"/>
                <w:lang w:eastAsia="zh-CN"/>
              </w:rPr>
              <w:t>重点建设用地安全利用率（%）</w:t>
            </w:r>
          </w:p>
        </w:tc>
        <w:tc>
          <w:tcPr>
            <w:tcW w:w="2678" w:type="pct"/>
            <w:tcBorders>
              <w:top w:val="single" w:color="auto" w:sz="4" w:space="0"/>
              <w:left w:val="single" w:color="auto" w:sz="4" w:space="0"/>
              <w:bottom w:val="single" w:color="auto" w:sz="4" w:space="0"/>
              <w:right w:val="single" w:color="auto" w:sz="4" w:space="0"/>
            </w:tcBorders>
            <w:vAlign w:val="center"/>
          </w:tcPr>
          <w:p w14:paraId="0A2841FE">
            <w:pPr>
              <w:widowControl w:val="0"/>
              <w:kinsoku/>
              <w:autoSpaceDE/>
              <w:autoSpaceDN/>
              <w:adjustRightInd w:val="0"/>
              <w:snapToGrid w:val="0"/>
              <w:spacing w:before="43" w:beforeLines="10" w:after="43" w:afterLines="10" w:line="300" w:lineRule="atLeast"/>
              <w:ind w:firstLine="0" w:firstLineChars="0"/>
              <w:textAlignment w:val="auto"/>
              <w:rPr>
                <w:rFonts w:ascii="Times New Roman" w:hAnsi="Times New Roman" w:eastAsia="仿宋_GB2312" w:cs="黑体"/>
                <w:snapToGrid w:val="0"/>
                <w:color w:val="000000"/>
                <w:kern w:val="0"/>
                <w:sz w:val="24"/>
                <w:szCs w:val="24"/>
                <w:highlight w:val="none"/>
                <w:lang w:eastAsia="zh-CN"/>
              </w:rPr>
            </w:pPr>
            <w:r>
              <w:rPr>
                <w:rFonts w:hint="eastAsia" w:ascii="Times New Roman" w:hAnsi="Times New Roman" w:eastAsia="仿宋_GB2312" w:cs="黑体"/>
                <w:snapToGrid w:val="0"/>
                <w:color w:val="000000"/>
                <w:kern w:val="0"/>
                <w:sz w:val="24"/>
                <w:szCs w:val="24"/>
                <w:highlight w:val="none"/>
                <w:lang w:eastAsia="zh-CN"/>
              </w:rPr>
              <w:t>依据《中华人民共和国土壤污染防治法》和重点建设用地安全利用指标核算方法等有关文件，落实了土壤污染风险管控和修复措施的地块数占总地块数的百分比。</w:t>
            </w:r>
          </w:p>
        </w:tc>
        <w:tc>
          <w:tcPr>
            <w:tcW w:w="630" w:type="pct"/>
            <w:tcBorders>
              <w:top w:val="single" w:color="auto" w:sz="4" w:space="0"/>
              <w:left w:val="single" w:color="auto" w:sz="4" w:space="0"/>
              <w:bottom w:val="single" w:color="auto" w:sz="4" w:space="0"/>
              <w:right w:val="single" w:color="auto" w:sz="4" w:space="0"/>
            </w:tcBorders>
            <w:vAlign w:val="center"/>
          </w:tcPr>
          <w:p w14:paraId="0A2BC4F1">
            <w:pPr>
              <w:widowControl w:val="0"/>
              <w:kinsoku/>
              <w:autoSpaceDE/>
              <w:autoSpaceDN/>
              <w:adjustRightInd w:val="0"/>
              <w:snapToGrid w:val="0"/>
              <w:spacing w:before="43" w:beforeLines="10" w:after="43" w:afterLines="10" w:line="300" w:lineRule="atLeast"/>
              <w:ind w:firstLine="0" w:firstLineChars="0"/>
              <w:jc w:val="center"/>
              <w:textAlignment w:val="auto"/>
              <w:rPr>
                <w:rFonts w:hint="eastAsia" w:ascii="Times New Roman" w:hAnsi="Times New Roman" w:eastAsia="仿宋_GB2312" w:cs="黑体"/>
                <w:snapToGrid w:val="0"/>
                <w:color w:val="000000"/>
                <w:kern w:val="0"/>
                <w:sz w:val="24"/>
                <w:szCs w:val="24"/>
                <w:highlight w:val="none"/>
                <w:lang w:eastAsia="zh-CN"/>
              </w:rPr>
            </w:pPr>
            <w:r>
              <w:rPr>
                <w:rFonts w:hint="eastAsia" w:ascii="Times New Roman" w:hAnsi="Times New Roman" w:eastAsia="仿宋_GB2312" w:cs="黑体"/>
                <w:snapToGrid w:val="0"/>
                <w:color w:val="000000"/>
                <w:kern w:val="0"/>
                <w:sz w:val="24"/>
                <w:szCs w:val="24"/>
                <w:highlight w:val="none"/>
                <w:lang w:eastAsia="en-US"/>
              </w:rPr>
              <w:t>城区</w:t>
            </w:r>
          </w:p>
        </w:tc>
      </w:tr>
      <w:tr w14:paraId="733EA1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499" w:type="pct"/>
            <w:vMerge w:val="continue"/>
            <w:tcBorders>
              <w:left w:val="single" w:color="auto" w:sz="4" w:space="0"/>
              <w:bottom w:val="single" w:color="auto" w:sz="4" w:space="0"/>
              <w:right w:val="single" w:color="auto" w:sz="4" w:space="0"/>
            </w:tcBorders>
            <w:vAlign w:val="center"/>
          </w:tcPr>
          <w:p w14:paraId="7137935B">
            <w:pPr>
              <w:widowControl/>
              <w:kinsoku/>
              <w:autoSpaceDE/>
              <w:autoSpaceDN/>
              <w:adjustRightInd w:val="0"/>
              <w:snapToGrid w:val="0"/>
              <w:spacing w:before="10" w:after="10" w:line="300" w:lineRule="atLeast"/>
              <w:ind w:firstLine="0" w:firstLineChars="0"/>
              <w:jc w:val="left"/>
              <w:textAlignment w:val="auto"/>
              <w:rPr>
                <w:rFonts w:ascii="Times New Roman" w:hAnsi="Times New Roman" w:eastAsia="仿宋_GB2312" w:cs="黑体"/>
                <w:snapToGrid w:val="0"/>
                <w:color w:val="000000"/>
                <w:kern w:val="0"/>
                <w:sz w:val="24"/>
                <w:szCs w:val="24"/>
                <w:highlight w:val="none"/>
                <w:lang w:eastAsia="en-US"/>
              </w:rPr>
            </w:pPr>
          </w:p>
        </w:tc>
        <w:tc>
          <w:tcPr>
            <w:tcW w:w="294" w:type="pct"/>
            <w:tcBorders>
              <w:top w:val="single" w:color="auto" w:sz="4" w:space="0"/>
              <w:left w:val="single" w:color="auto" w:sz="4" w:space="0"/>
              <w:bottom w:val="single" w:color="auto" w:sz="4" w:space="0"/>
              <w:right w:val="single" w:color="auto" w:sz="4" w:space="0"/>
            </w:tcBorders>
            <w:vAlign w:val="center"/>
          </w:tcPr>
          <w:p w14:paraId="784B4EA1">
            <w:pPr>
              <w:keepNext w:val="0"/>
              <w:keepLines w:val="0"/>
              <w:pageBreakBefore w:val="0"/>
              <w:widowControl w:val="0"/>
              <w:numPr>
                <w:ilvl w:val="0"/>
                <w:numId w:val="4"/>
              </w:numPr>
              <w:tabs>
                <w:tab w:val="left" w:pos="312"/>
              </w:tabs>
              <w:kinsoku/>
              <w:wordWrap/>
              <w:overflowPunct/>
              <w:topLinePunct w:val="0"/>
              <w:autoSpaceDE/>
              <w:autoSpaceDN/>
              <w:bidi w:val="0"/>
              <w:adjustRightInd w:val="0"/>
              <w:snapToGrid w:val="0"/>
              <w:spacing w:before="43" w:beforeLines="10" w:after="43" w:afterLines="10" w:line="300" w:lineRule="atLeast"/>
              <w:ind w:firstLine="0" w:firstLineChars="0"/>
              <w:jc w:val="center"/>
              <w:textAlignment w:val="auto"/>
              <w:rPr>
                <w:rFonts w:ascii="Times New Roman" w:hAnsi="Times New Roman" w:eastAsia="仿宋_GB2312" w:cs="黑体"/>
                <w:snapToGrid w:val="0"/>
                <w:color w:val="000000"/>
                <w:kern w:val="2"/>
                <w:sz w:val="24"/>
                <w:szCs w:val="24"/>
                <w:highlight w:val="none"/>
                <w:lang w:eastAsia="zh-CN"/>
              </w:rPr>
            </w:pPr>
          </w:p>
        </w:tc>
        <w:tc>
          <w:tcPr>
            <w:tcW w:w="896" w:type="pct"/>
            <w:tcBorders>
              <w:top w:val="single" w:color="auto" w:sz="4" w:space="0"/>
              <w:left w:val="single" w:color="auto" w:sz="4" w:space="0"/>
              <w:bottom w:val="single" w:color="auto" w:sz="4" w:space="0"/>
              <w:right w:val="single" w:color="auto" w:sz="4" w:space="0"/>
            </w:tcBorders>
            <w:vAlign w:val="center"/>
          </w:tcPr>
          <w:p w14:paraId="39DE182F">
            <w:pPr>
              <w:widowControl w:val="0"/>
              <w:kinsoku/>
              <w:autoSpaceDE/>
              <w:autoSpaceDN/>
              <w:adjustRightInd w:val="0"/>
              <w:snapToGrid w:val="0"/>
              <w:spacing w:before="43" w:beforeLines="10" w:after="43" w:afterLines="10" w:line="300" w:lineRule="atLeast"/>
              <w:ind w:firstLine="0" w:firstLineChars="0"/>
              <w:jc w:val="center"/>
              <w:textAlignment w:val="auto"/>
              <w:rPr>
                <w:rFonts w:ascii="Times New Roman" w:hAnsi="Times New Roman" w:eastAsia="仿宋_GB2312" w:cs="黑体"/>
                <w:snapToGrid w:val="0"/>
                <w:color w:val="000000"/>
                <w:kern w:val="0"/>
                <w:sz w:val="24"/>
                <w:szCs w:val="24"/>
                <w:highlight w:val="none"/>
                <w:lang w:eastAsia="zh-CN"/>
              </w:rPr>
            </w:pPr>
            <w:r>
              <w:rPr>
                <w:rFonts w:hint="eastAsia" w:ascii="Times New Roman" w:hAnsi="Times New Roman" w:eastAsia="仿宋_GB2312" w:cs="黑体"/>
                <w:snapToGrid w:val="0"/>
                <w:color w:val="000000"/>
                <w:kern w:val="0"/>
                <w:sz w:val="24"/>
                <w:szCs w:val="24"/>
                <w:highlight w:val="none"/>
                <w:lang w:eastAsia="zh-CN"/>
              </w:rPr>
              <w:t>城市声环境功能区夜间达标率（%）</w:t>
            </w:r>
          </w:p>
        </w:tc>
        <w:tc>
          <w:tcPr>
            <w:tcW w:w="2678" w:type="pct"/>
            <w:tcBorders>
              <w:top w:val="single" w:color="auto" w:sz="4" w:space="0"/>
              <w:left w:val="single" w:color="auto" w:sz="4" w:space="0"/>
              <w:bottom w:val="single" w:color="auto" w:sz="4" w:space="0"/>
              <w:right w:val="single" w:color="auto" w:sz="4" w:space="0"/>
            </w:tcBorders>
            <w:vAlign w:val="center"/>
          </w:tcPr>
          <w:p w14:paraId="54AAB66E">
            <w:pPr>
              <w:widowControl w:val="0"/>
              <w:kinsoku/>
              <w:autoSpaceDE/>
              <w:autoSpaceDN/>
              <w:adjustRightInd w:val="0"/>
              <w:snapToGrid w:val="0"/>
              <w:spacing w:before="43" w:beforeLines="10" w:after="43" w:afterLines="10" w:line="300" w:lineRule="atLeast"/>
              <w:ind w:firstLine="0" w:firstLineChars="0"/>
              <w:textAlignment w:val="auto"/>
              <w:rPr>
                <w:rFonts w:ascii="Times New Roman" w:hAnsi="Times New Roman" w:eastAsia="仿宋_GB2312" w:cs="黑体"/>
                <w:snapToGrid w:val="0"/>
                <w:color w:val="000000"/>
                <w:kern w:val="0"/>
                <w:sz w:val="24"/>
                <w:szCs w:val="24"/>
                <w:highlight w:val="none"/>
                <w:lang w:eastAsia="zh-CN"/>
              </w:rPr>
            </w:pPr>
            <w:r>
              <w:rPr>
                <w:rFonts w:hint="eastAsia" w:ascii="Times New Roman" w:hAnsi="Times New Roman" w:eastAsia="仿宋_GB2312" w:cs="黑体"/>
                <w:snapToGrid w:val="0"/>
                <w:color w:val="000000"/>
                <w:kern w:val="0"/>
                <w:sz w:val="24"/>
                <w:szCs w:val="24"/>
                <w:highlight w:val="none"/>
                <w:lang w:eastAsia="zh-CN"/>
              </w:rPr>
              <w:t>城市声环境功能区夜间时段评价结果，达标的监测站（点）数量占符合数据有效性规定的有效监测站（点）总数的百分比。</w:t>
            </w:r>
          </w:p>
        </w:tc>
        <w:tc>
          <w:tcPr>
            <w:tcW w:w="630" w:type="pct"/>
            <w:tcBorders>
              <w:top w:val="single" w:color="auto" w:sz="4" w:space="0"/>
              <w:left w:val="single" w:color="auto" w:sz="4" w:space="0"/>
              <w:bottom w:val="single" w:color="auto" w:sz="4" w:space="0"/>
              <w:right w:val="single" w:color="auto" w:sz="4" w:space="0"/>
            </w:tcBorders>
            <w:vAlign w:val="center"/>
          </w:tcPr>
          <w:p w14:paraId="49D5814C">
            <w:pPr>
              <w:widowControl w:val="0"/>
              <w:kinsoku/>
              <w:autoSpaceDE/>
              <w:autoSpaceDN/>
              <w:adjustRightInd w:val="0"/>
              <w:snapToGrid w:val="0"/>
              <w:spacing w:before="43" w:beforeLines="10" w:after="43" w:afterLines="10" w:line="300" w:lineRule="atLeast"/>
              <w:ind w:firstLine="0" w:firstLineChars="0"/>
              <w:jc w:val="center"/>
              <w:textAlignment w:val="auto"/>
              <w:rPr>
                <w:rFonts w:hint="eastAsia" w:ascii="Times New Roman" w:hAnsi="Times New Roman" w:eastAsia="仿宋_GB2312" w:cs="黑体"/>
                <w:snapToGrid w:val="0"/>
                <w:color w:val="000000"/>
                <w:kern w:val="0"/>
                <w:sz w:val="24"/>
                <w:szCs w:val="24"/>
                <w:highlight w:val="none"/>
                <w:lang w:eastAsia="zh-CN"/>
              </w:rPr>
            </w:pPr>
            <w:r>
              <w:rPr>
                <w:rFonts w:hint="eastAsia" w:ascii="Times New Roman" w:hAnsi="Times New Roman" w:eastAsia="仿宋_GB2312" w:cs="黑体"/>
                <w:snapToGrid w:val="0"/>
                <w:color w:val="000000"/>
                <w:kern w:val="0"/>
                <w:sz w:val="24"/>
                <w:szCs w:val="24"/>
                <w:highlight w:val="none"/>
                <w:lang w:eastAsia="en-US"/>
              </w:rPr>
              <w:t>城区</w:t>
            </w:r>
          </w:p>
        </w:tc>
      </w:tr>
      <w:tr w14:paraId="3BE5D8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jc w:val="center"/>
        </w:trPr>
        <w:tc>
          <w:tcPr>
            <w:tcW w:w="499" w:type="pct"/>
            <w:vMerge w:val="restart"/>
            <w:tcBorders>
              <w:top w:val="single" w:color="auto" w:sz="4" w:space="0"/>
              <w:left w:val="single" w:color="auto" w:sz="4" w:space="0"/>
              <w:bottom w:val="single" w:color="auto" w:sz="4" w:space="0"/>
              <w:right w:val="single" w:color="auto" w:sz="4" w:space="0"/>
            </w:tcBorders>
            <w:vAlign w:val="center"/>
          </w:tcPr>
          <w:p w14:paraId="1859871C">
            <w:pPr>
              <w:widowControl w:val="0"/>
              <w:kinsoku/>
              <w:autoSpaceDE/>
              <w:autoSpaceDN/>
              <w:adjustRightInd w:val="0"/>
              <w:snapToGrid w:val="0"/>
              <w:spacing w:before="43" w:beforeLines="10" w:after="43" w:afterLines="10" w:line="300" w:lineRule="atLeast"/>
              <w:ind w:firstLine="0" w:firstLineChars="0"/>
              <w:jc w:val="center"/>
              <w:textAlignment w:val="auto"/>
              <w:rPr>
                <w:rFonts w:ascii="Times New Roman" w:hAnsi="Times New Roman" w:eastAsia="仿宋_GB2312" w:cs="黑体"/>
                <w:snapToGrid w:val="0"/>
                <w:color w:val="000000"/>
                <w:kern w:val="0"/>
                <w:sz w:val="24"/>
                <w:szCs w:val="24"/>
                <w:highlight w:val="none"/>
                <w:lang w:eastAsia="en-US"/>
              </w:rPr>
            </w:pPr>
            <w:r>
              <w:rPr>
                <w:rFonts w:hint="eastAsia" w:ascii="Times New Roman" w:hAnsi="Times New Roman" w:eastAsia="仿宋_GB2312" w:cs="黑体"/>
                <w:snapToGrid w:val="0"/>
                <w:color w:val="000000"/>
                <w:kern w:val="0"/>
                <w:sz w:val="24"/>
                <w:szCs w:val="24"/>
                <w:highlight w:val="none"/>
                <w:lang w:eastAsia="zh-CN"/>
              </w:rPr>
              <w:t>生态宜居</w:t>
            </w:r>
          </w:p>
        </w:tc>
        <w:tc>
          <w:tcPr>
            <w:tcW w:w="294" w:type="pct"/>
            <w:tcBorders>
              <w:top w:val="single" w:color="auto" w:sz="4" w:space="0"/>
              <w:left w:val="single" w:color="auto" w:sz="4" w:space="0"/>
              <w:bottom w:val="single" w:color="auto" w:sz="4" w:space="0"/>
              <w:right w:val="single" w:color="auto" w:sz="4" w:space="0"/>
            </w:tcBorders>
            <w:vAlign w:val="center"/>
          </w:tcPr>
          <w:p w14:paraId="3380CA83">
            <w:pPr>
              <w:keepNext w:val="0"/>
              <w:keepLines w:val="0"/>
              <w:pageBreakBefore w:val="0"/>
              <w:widowControl w:val="0"/>
              <w:numPr>
                <w:ilvl w:val="0"/>
                <w:numId w:val="4"/>
              </w:numPr>
              <w:tabs>
                <w:tab w:val="left" w:pos="312"/>
              </w:tabs>
              <w:kinsoku/>
              <w:wordWrap/>
              <w:overflowPunct/>
              <w:topLinePunct w:val="0"/>
              <w:autoSpaceDE/>
              <w:autoSpaceDN/>
              <w:bidi w:val="0"/>
              <w:adjustRightInd w:val="0"/>
              <w:snapToGrid w:val="0"/>
              <w:spacing w:before="43" w:beforeLines="10" w:after="43" w:afterLines="10" w:line="300" w:lineRule="atLeast"/>
              <w:ind w:firstLine="0" w:firstLineChars="0"/>
              <w:jc w:val="center"/>
              <w:textAlignment w:val="auto"/>
              <w:rPr>
                <w:rFonts w:ascii="Times New Roman" w:hAnsi="Times New Roman" w:eastAsia="仿宋_GB2312" w:cs="黑体"/>
                <w:snapToGrid w:val="0"/>
                <w:color w:val="000000"/>
                <w:kern w:val="2"/>
                <w:sz w:val="24"/>
                <w:szCs w:val="24"/>
                <w:highlight w:val="none"/>
                <w:lang w:eastAsia="en-US"/>
              </w:rPr>
            </w:pPr>
          </w:p>
        </w:tc>
        <w:tc>
          <w:tcPr>
            <w:tcW w:w="896" w:type="pct"/>
            <w:tcBorders>
              <w:top w:val="single" w:color="auto" w:sz="4" w:space="0"/>
              <w:left w:val="single" w:color="auto" w:sz="4" w:space="0"/>
              <w:bottom w:val="single" w:color="auto" w:sz="4" w:space="0"/>
              <w:right w:val="single" w:color="auto" w:sz="4" w:space="0"/>
            </w:tcBorders>
            <w:vAlign w:val="center"/>
          </w:tcPr>
          <w:p w14:paraId="163C6062">
            <w:pPr>
              <w:widowControl w:val="0"/>
              <w:kinsoku/>
              <w:autoSpaceDE/>
              <w:autoSpaceDN/>
              <w:adjustRightInd w:val="0"/>
              <w:snapToGrid w:val="0"/>
              <w:spacing w:before="43" w:beforeLines="10" w:after="43" w:afterLines="10" w:line="300" w:lineRule="atLeast"/>
              <w:ind w:firstLine="0" w:firstLineChars="0"/>
              <w:jc w:val="center"/>
              <w:textAlignment w:val="auto"/>
              <w:rPr>
                <w:rFonts w:ascii="Times New Roman" w:hAnsi="Times New Roman" w:eastAsia="仿宋_GB2312" w:cs="黑体"/>
                <w:snapToGrid w:val="0"/>
                <w:color w:val="000000"/>
                <w:kern w:val="0"/>
                <w:sz w:val="24"/>
                <w:szCs w:val="24"/>
                <w:highlight w:val="none"/>
                <w:lang w:eastAsia="en-US"/>
              </w:rPr>
            </w:pPr>
            <w:r>
              <w:rPr>
                <w:rFonts w:hint="eastAsia" w:ascii="Times New Roman" w:hAnsi="Times New Roman" w:eastAsia="仿宋_GB2312" w:cs="黑体"/>
                <w:snapToGrid w:val="0"/>
                <w:color w:val="000000"/>
                <w:kern w:val="0"/>
                <w:sz w:val="24"/>
                <w:szCs w:val="24"/>
                <w:highlight w:val="none"/>
                <w:lang w:eastAsia="en-US"/>
              </w:rPr>
              <w:t>蓝绿空间比例（%）</w:t>
            </w:r>
          </w:p>
        </w:tc>
        <w:tc>
          <w:tcPr>
            <w:tcW w:w="2678" w:type="pct"/>
            <w:tcBorders>
              <w:top w:val="single" w:color="auto" w:sz="4" w:space="0"/>
              <w:left w:val="single" w:color="auto" w:sz="4" w:space="0"/>
              <w:bottom w:val="single" w:color="auto" w:sz="4" w:space="0"/>
              <w:right w:val="single" w:color="auto" w:sz="4" w:space="0"/>
            </w:tcBorders>
            <w:vAlign w:val="center"/>
          </w:tcPr>
          <w:p w14:paraId="66DABEEF">
            <w:pPr>
              <w:widowControl w:val="0"/>
              <w:kinsoku/>
              <w:autoSpaceDE/>
              <w:autoSpaceDN/>
              <w:adjustRightInd w:val="0"/>
              <w:snapToGrid w:val="0"/>
              <w:spacing w:before="43" w:beforeLines="10" w:after="43" w:afterLines="10" w:line="300" w:lineRule="atLeast"/>
              <w:ind w:firstLine="0" w:firstLineChars="0"/>
              <w:textAlignment w:val="auto"/>
              <w:rPr>
                <w:rFonts w:ascii="Times New Roman" w:hAnsi="Times New Roman" w:eastAsia="仿宋_GB2312" w:cs="黑体"/>
                <w:snapToGrid w:val="0"/>
                <w:color w:val="000000"/>
                <w:kern w:val="0"/>
                <w:sz w:val="24"/>
                <w:szCs w:val="24"/>
                <w:highlight w:val="none"/>
                <w:lang w:eastAsia="zh-CN"/>
              </w:rPr>
            </w:pPr>
            <w:r>
              <w:rPr>
                <w:rFonts w:hint="eastAsia" w:ascii="Times New Roman" w:hAnsi="Times New Roman" w:eastAsia="仿宋_GB2312" w:cs="黑体"/>
                <w:snapToGrid w:val="0"/>
                <w:color w:val="000000"/>
                <w:kern w:val="0"/>
                <w:sz w:val="24"/>
                <w:szCs w:val="24"/>
                <w:highlight w:val="none"/>
                <w:lang w:eastAsia="zh-CN"/>
              </w:rPr>
              <w:t>城区内各类绿地和水域总面积占城区总面积的百分比。</w:t>
            </w:r>
          </w:p>
        </w:tc>
        <w:tc>
          <w:tcPr>
            <w:tcW w:w="630" w:type="pct"/>
            <w:tcBorders>
              <w:top w:val="single" w:color="auto" w:sz="4" w:space="0"/>
              <w:left w:val="single" w:color="auto" w:sz="4" w:space="0"/>
              <w:bottom w:val="single" w:color="auto" w:sz="4" w:space="0"/>
              <w:right w:val="single" w:color="auto" w:sz="4" w:space="0"/>
            </w:tcBorders>
            <w:vAlign w:val="center"/>
          </w:tcPr>
          <w:p w14:paraId="43686509">
            <w:pPr>
              <w:widowControl w:val="0"/>
              <w:tabs>
                <w:tab w:val="left" w:pos="260"/>
              </w:tabs>
              <w:kinsoku/>
              <w:autoSpaceDE/>
              <w:autoSpaceDN/>
              <w:adjustRightInd w:val="0"/>
              <w:snapToGrid w:val="0"/>
              <w:spacing w:before="43" w:beforeLines="10" w:after="43" w:afterLines="10" w:line="300" w:lineRule="atLeast"/>
              <w:ind w:firstLine="0" w:firstLineChars="0"/>
              <w:jc w:val="center"/>
              <w:textAlignment w:val="auto"/>
              <w:rPr>
                <w:rFonts w:ascii="Times New Roman" w:hAnsi="Times New Roman" w:eastAsia="仿宋_GB2312" w:cs="黑体"/>
                <w:snapToGrid w:val="0"/>
                <w:color w:val="000000"/>
                <w:kern w:val="0"/>
                <w:sz w:val="24"/>
                <w:szCs w:val="24"/>
                <w:highlight w:val="none"/>
                <w:lang w:eastAsia="zh-CN"/>
              </w:rPr>
            </w:pPr>
            <w:r>
              <w:rPr>
                <w:rFonts w:hint="eastAsia" w:ascii="Times New Roman" w:hAnsi="Times New Roman" w:eastAsia="仿宋_GB2312" w:cs="黑体"/>
                <w:snapToGrid w:val="0"/>
                <w:color w:val="000000"/>
                <w:kern w:val="0"/>
                <w:sz w:val="24"/>
                <w:szCs w:val="24"/>
                <w:highlight w:val="none"/>
                <w:lang w:eastAsia="zh-CN"/>
              </w:rPr>
              <w:t>城区</w:t>
            </w:r>
          </w:p>
        </w:tc>
      </w:tr>
      <w:tr w14:paraId="28A1D3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jc w:val="center"/>
        </w:trPr>
        <w:tc>
          <w:tcPr>
            <w:tcW w:w="499" w:type="pct"/>
            <w:vMerge w:val="continue"/>
            <w:tcBorders>
              <w:top w:val="single" w:color="auto" w:sz="4" w:space="0"/>
              <w:left w:val="single" w:color="auto" w:sz="4" w:space="0"/>
              <w:bottom w:val="single" w:color="auto" w:sz="4" w:space="0"/>
              <w:right w:val="single" w:color="auto" w:sz="4" w:space="0"/>
            </w:tcBorders>
            <w:vAlign w:val="center"/>
          </w:tcPr>
          <w:p w14:paraId="70530289">
            <w:pPr>
              <w:widowControl/>
              <w:kinsoku/>
              <w:autoSpaceDE/>
              <w:autoSpaceDN/>
              <w:adjustRightInd w:val="0"/>
              <w:snapToGrid w:val="0"/>
              <w:spacing w:before="10" w:after="10" w:line="300" w:lineRule="atLeast"/>
              <w:ind w:firstLine="0" w:firstLineChars="0"/>
              <w:jc w:val="left"/>
              <w:textAlignment w:val="auto"/>
              <w:rPr>
                <w:rFonts w:ascii="Times New Roman" w:hAnsi="Times New Roman" w:eastAsia="仿宋_GB2312" w:cs="黑体"/>
                <w:snapToGrid w:val="0"/>
                <w:color w:val="000000"/>
                <w:kern w:val="0"/>
                <w:sz w:val="24"/>
                <w:szCs w:val="24"/>
                <w:highlight w:val="none"/>
                <w:lang w:eastAsia="en-US"/>
              </w:rPr>
            </w:pPr>
          </w:p>
        </w:tc>
        <w:tc>
          <w:tcPr>
            <w:tcW w:w="294" w:type="pct"/>
            <w:tcBorders>
              <w:top w:val="single" w:color="auto" w:sz="4" w:space="0"/>
              <w:left w:val="single" w:color="auto" w:sz="4" w:space="0"/>
              <w:bottom w:val="single" w:color="auto" w:sz="4" w:space="0"/>
              <w:right w:val="single" w:color="auto" w:sz="4" w:space="0"/>
            </w:tcBorders>
            <w:vAlign w:val="center"/>
          </w:tcPr>
          <w:p w14:paraId="5D631AB2">
            <w:pPr>
              <w:keepNext w:val="0"/>
              <w:keepLines w:val="0"/>
              <w:pageBreakBefore w:val="0"/>
              <w:widowControl w:val="0"/>
              <w:numPr>
                <w:ilvl w:val="0"/>
                <w:numId w:val="4"/>
              </w:numPr>
              <w:tabs>
                <w:tab w:val="left" w:pos="312"/>
              </w:tabs>
              <w:kinsoku/>
              <w:wordWrap/>
              <w:overflowPunct/>
              <w:topLinePunct w:val="0"/>
              <w:autoSpaceDE/>
              <w:autoSpaceDN/>
              <w:bidi w:val="0"/>
              <w:adjustRightInd w:val="0"/>
              <w:snapToGrid w:val="0"/>
              <w:spacing w:before="43" w:beforeLines="10" w:after="43" w:afterLines="10" w:line="300" w:lineRule="atLeast"/>
              <w:ind w:firstLine="0" w:firstLineChars="0"/>
              <w:jc w:val="center"/>
              <w:textAlignment w:val="auto"/>
              <w:rPr>
                <w:rFonts w:ascii="Times New Roman" w:hAnsi="Times New Roman" w:eastAsia="仿宋_GB2312" w:cs="黑体"/>
                <w:snapToGrid w:val="0"/>
                <w:color w:val="000000"/>
                <w:kern w:val="2"/>
                <w:sz w:val="24"/>
                <w:szCs w:val="24"/>
                <w:highlight w:val="none"/>
                <w:lang w:eastAsia="en-US"/>
              </w:rPr>
            </w:pPr>
          </w:p>
        </w:tc>
        <w:tc>
          <w:tcPr>
            <w:tcW w:w="896" w:type="pct"/>
            <w:tcBorders>
              <w:top w:val="single" w:color="auto" w:sz="4" w:space="0"/>
              <w:left w:val="single" w:color="auto" w:sz="4" w:space="0"/>
              <w:bottom w:val="single" w:color="auto" w:sz="4" w:space="0"/>
              <w:right w:val="single" w:color="auto" w:sz="4" w:space="0"/>
            </w:tcBorders>
            <w:vAlign w:val="center"/>
          </w:tcPr>
          <w:p w14:paraId="33EEA0BD">
            <w:pPr>
              <w:widowControl w:val="0"/>
              <w:kinsoku/>
              <w:autoSpaceDE/>
              <w:autoSpaceDN/>
              <w:adjustRightInd w:val="0"/>
              <w:snapToGrid w:val="0"/>
              <w:spacing w:before="43" w:beforeLines="10" w:after="43" w:afterLines="10" w:line="300" w:lineRule="atLeast"/>
              <w:ind w:firstLine="0" w:firstLineChars="0"/>
              <w:jc w:val="center"/>
              <w:textAlignment w:val="auto"/>
              <w:rPr>
                <w:rFonts w:ascii="Times New Roman" w:hAnsi="Times New Roman" w:eastAsia="仿宋_GB2312" w:cs="黑体"/>
                <w:snapToGrid w:val="0"/>
                <w:color w:val="000000"/>
                <w:kern w:val="0"/>
                <w:sz w:val="24"/>
                <w:szCs w:val="24"/>
                <w:highlight w:val="none"/>
                <w:lang w:eastAsia="zh-CN"/>
              </w:rPr>
            </w:pPr>
            <w:r>
              <w:rPr>
                <w:rFonts w:hint="eastAsia" w:ascii="Times New Roman" w:hAnsi="Times New Roman" w:eastAsia="仿宋_GB2312" w:cs="黑体"/>
                <w:snapToGrid w:val="0"/>
                <w:color w:val="000000"/>
                <w:kern w:val="0"/>
                <w:sz w:val="24"/>
                <w:szCs w:val="24"/>
                <w:highlight w:val="none"/>
                <w:lang w:eastAsia="zh-CN"/>
              </w:rPr>
              <w:t>人均公园绿地面积（平方米）</w:t>
            </w:r>
          </w:p>
        </w:tc>
        <w:tc>
          <w:tcPr>
            <w:tcW w:w="2678" w:type="pct"/>
            <w:tcBorders>
              <w:top w:val="single" w:color="auto" w:sz="4" w:space="0"/>
              <w:left w:val="single" w:color="auto" w:sz="4" w:space="0"/>
              <w:bottom w:val="single" w:color="auto" w:sz="4" w:space="0"/>
              <w:right w:val="single" w:color="auto" w:sz="4" w:space="0"/>
            </w:tcBorders>
            <w:vAlign w:val="center"/>
          </w:tcPr>
          <w:p w14:paraId="0F4706CC">
            <w:pPr>
              <w:widowControl w:val="0"/>
              <w:kinsoku/>
              <w:autoSpaceDE/>
              <w:autoSpaceDN/>
              <w:adjustRightInd w:val="0"/>
              <w:snapToGrid w:val="0"/>
              <w:spacing w:before="43" w:beforeLines="10" w:after="43" w:afterLines="10" w:line="300" w:lineRule="atLeast"/>
              <w:ind w:firstLine="0" w:firstLineChars="0"/>
              <w:textAlignment w:val="auto"/>
              <w:rPr>
                <w:rFonts w:ascii="Times New Roman" w:hAnsi="Times New Roman" w:eastAsia="仿宋_GB2312" w:cs="黑体"/>
                <w:snapToGrid w:val="0"/>
                <w:color w:val="000000"/>
                <w:kern w:val="0"/>
                <w:sz w:val="24"/>
                <w:szCs w:val="24"/>
                <w:highlight w:val="none"/>
                <w:lang w:eastAsia="zh-CN"/>
              </w:rPr>
            </w:pPr>
            <w:r>
              <w:rPr>
                <w:rFonts w:hint="eastAsia" w:ascii="Times New Roman" w:hAnsi="Times New Roman" w:eastAsia="仿宋_GB2312" w:cs="黑体"/>
                <w:snapToGrid w:val="0"/>
                <w:color w:val="000000"/>
                <w:kern w:val="0"/>
                <w:sz w:val="24"/>
                <w:szCs w:val="24"/>
                <w:highlight w:val="none"/>
                <w:lang w:eastAsia="zh-CN"/>
              </w:rPr>
              <w:t>城区公园绿地面积/城区人口总数。</w:t>
            </w:r>
          </w:p>
        </w:tc>
        <w:tc>
          <w:tcPr>
            <w:tcW w:w="630" w:type="pct"/>
            <w:tcBorders>
              <w:top w:val="single" w:color="auto" w:sz="4" w:space="0"/>
              <w:left w:val="single" w:color="auto" w:sz="4" w:space="0"/>
              <w:bottom w:val="single" w:color="auto" w:sz="4" w:space="0"/>
              <w:right w:val="single" w:color="auto" w:sz="4" w:space="0"/>
            </w:tcBorders>
            <w:vAlign w:val="center"/>
          </w:tcPr>
          <w:p w14:paraId="284F9B9D">
            <w:pPr>
              <w:widowControl/>
              <w:kinsoku/>
              <w:autoSpaceDE/>
              <w:autoSpaceDN/>
              <w:adjustRightInd w:val="0"/>
              <w:snapToGrid w:val="0"/>
              <w:spacing w:before="10" w:after="10" w:line="300" w:lineRule="atLeast"/>
              <w:ind w:firstLine="0" w:firstLineChars="0"/>
              <w:jc w:val="center"/>
              <w:textAlignment w:val="auto"/>
              <w:rPr>
                <w:rFonts w:ascii="Times New Roman" w:hAnsi="Times New Roman" w:eastAsia="仿宋_GB2312" w:cs="黑体"/>
                <w:snapToGrid w:val="0"/>
                <w:color w:val="000000"/>
                <w:kern w:val="0"/>
                <w:sz w:val="24"/>
                <w:szCs w:val="24"/>
                <w:highlight w:val="none"/>
                <w:lang w:eastAsia="zh-CN"/>
              </w:rPr>
            </w:pPr>
            <w:r>
              <w:rPr>
                <w:rFonts w:hint="eastAsia" w:ascii="Times New Roman" w:hAnsi="Times New Roman" w:eastAsia="仿宋_GB2312" w:cs="黑体"/>
                <w:snapToGrid w:val="0"/>
                <w:color w:val="000000"/>
                <w:kern w:val="0"/>
                <w:sz w:val="24"/>
                <w:szCs w:val="24"/>
                <w:highlight w:val="none"/>
                <w:lang w:eastAsia="zh-CN"/>
              </w:rPr>
              <w:t>城区</w:t>
            </w:r>
          </w:p>
        </w:tc>
      </w:tr>
      <w:tr w14:paraId="4ABB28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jc w:val="center"/>
        </w:trPr>
        <w:tc>
          <w:tcPr>
            <w:tcW w:w="499" w:type="pct"/>
            <w:vMerge w:val="continue"/>
            <w:tcBorders>
              <w:top w:val="single" w:color="auto" w:sz="4" w:space="0"/>
              <w:left w:val="single" w:color="auto" w:sz="4" w:space="0"/>
              <w:bottom w:val="single" w:color="auto" w:sz="4" w:space="0"/>
              <w:right w:val="single" w:color="auto" w:sz="4" w:space="0"/>
            </w:tcBorders>
            <w:vAlign w:val="center"/>
          </w:tcPr>
          <w:p w14:paraId="10FB3C8A">
            <w:pPr>
              <w:widowControl/>
              <w:kinsoku/>
              <w:autoSpaceDE/>
              <w:autoSpaceDN/>
              <w:adjustRightInd w:val="0"/>
              <w:snapToGrid w:val="0"/>
              <w:spacing w:before="10" w:after="10" w:line="300" w:lineRule="atLeast"/>
              <w:ind w:firstLine="0" w:firstLineChars="0"/>
              <w:jc w:val="left"/>
              <w:textAlignment w:val="auto"/>
              <w:rPr>
                <w:rFonts w:ascii="Times New Roman" w:hAnsi="Times New Roman" w:eastAsia="仿宋_GB2312" w:cs="黑体"/>
                <w:snapToGrid w:val="0"/>
                <w:color w:val="000000"/>
                <w:kern w:val="0"/>
                <w:sz w:val="24"/>
                <w:szCs w:val="24"/>
                <w:highlight w:val="none"/>
                <w:lang w:eastAsia="zh-CN"/>
              </w:rPr>
            </w:pPr>
          </w:p>
        </w:tc>
        <w:tc>
          <w:tcPr>
            <w:tcW w:w="294" w:type="pct"/>
            <w:tcBorders>
              <w:top w:val="single" w:color="auto" w:sz="4" w:space="0"/>
              <w:left w:val="single" w:color="auto" w:sz="4" w:space="0"/>
              <w:bottom w:val="single" w:color="auto" w:sz="4" w:space="0"/>
              <w:right w:val="single" w:color="auto" w:sz="4" w:space="0"/>
            </w:tcBorders>
            <w:vAlign w:val="center"/>
          </w:tcPr>
          <w:p w14:paraId="1581739B">
            <w:pPr>
              <w:keepNext w:val="0"/>
              <w:keepLines w:val="0"/>
              <w:pageBreakBefore w:val="0"/>
              <w:widowControl w:val="0"/>
              <w:numPr>
                <w:ilvl w:val="0"/>
                <w:numId w:val="4"/>
              </w:numPr>
              <w:tabs>
                <w:tab w:val="left" w:pos="312"/>
              </w:tabs>
              <w:kinsoku/>
              <w:wordWrap/>
              <w:overflowPunct/>
              <w:topLinePunct w:val="0"/>
              <w:autoSpaceDE/>
              <w:autoSpaceDN/>
              <w:bidi w:val="0"/>
              <w:adjustRightInd w:val="0"/>
              <w:snapToGrid w:val="0"/>
              <w:spacing w:before="43" w:beforeLines="10" w:after="43" w:afterLines="10" w:line="300" w:lineRule="atLeast"/>
              <w:ind w:firstLine="0" w:firstLineChars="0"/>
              <w:jc w:val="center"/>
              <w:textAlignment w:val="auto"/>
              <w:rPr>
                <w:rFonts w:ascii="Times New Roman" w:hAnsi="Times New Roman" w:eastAsia="仿宋_GB2312" w:cs="黑体"/>
                <w:snapToGrid w:val="0"/>
                <w:color w:val="000000"/>
                <w:kern w:val="2"/>
                <w:sz w:val="24"/>
                <w:szCs w:val="24"/>
                <w:highlight w:val="none"/>
                <w:lang w:eastAsia="zh-CN"/>
              </w:rPr>
            </w:pPr>
          </w:p>
        </w:tc>
        <w:tc>
          <w:tcPr>
            <w:tcW w:w="896" w:type="pct"/>
            <w:tcBorders>
              <w:top w:val="single" w:color="auto" w:sz="4" w:space="0"/>
              <w:left w:val="single" w:color="auto" w:sz="4" w:space="0"/>
              <w:bottom w:val="single" w:color="auto" w:sz="4" w:space="0"/>
              <w:right w:val="single" w:color="auto" w:sz="4" w:space="0"/>
            </w:tcBorders>
            <w:vAlign w:val="center"/>
          </w:tcPr>
          <w:p w14:paraId="425636B3">
            <w:pPr>
              <w:widowControl w:val="0"/>
              <w:kinsoku/>
              <w:autoSpaceDE/>
              <w:autoSpaceDN/>
              <w:adjustRightInd w:val="0"/>
              <w:snapToGrid w:val="0"/>
              <w:spacing w:before="43" w:beforeLines="10" w:after="43" w:afterLines="10" w:line="300" w:lineRule="atLeast"/>
              <w:ind w:firstLine="0" w:firstLineChars="0"/>
              <w:jc w:val="center"/>
              <w:textAlignment w:val="auto"/>
              <w:rPr>
                <w:rFonts w:ascii="Times New Roman" w:hAnsi="Times New Roman" w:eastAsia="仿宋_GB2312" w:cs="黑体"/>
                <w:snapToGrid w:val="0"/>
                <w:color w:val="000000"/>
                <w:kern w:val="0"/>
                <w:sz w:val="24"/>
                <w:szCs w:val="24"/>
                <w:highlight w:val="none"/>
                <w:lang w:eastAsia="zh-CN"/>
              </w:rPr>
            </w:pPr>
            <w:r>
              <w:rPr>
                <w:rFonts w:hint="eastAsia" w:ascii="Times New Roman" w:hAnsi="Times New Roman" w:eastAsia="仿宋_GB2312" w:cs="黑体"/>
                <w:snapToGrid w:val="0"/>
                <w:color w:val="000000"/>
                <w:kern w:val="0"/>
                <w:sz w:val="24"/>
                <w:szCs w:val="24"/>
                <w:highlight w:val="none"/>
                <w:lang w:eastAsia="zh-CN"/>
              </w:rPr>
              <w:t>城市绿化覆盖率（%）</w:t>
            </w:r>
          </w:p>
        </w:tc>
        <w:tc>
          <w:tcPr>
            <w:tcW w:w="2678" w:type="pct"/>
            <w:tcBorders>
              <w:top w:val="single" w:color="auto" w:sz="4" w:space="0"/>
              <w:left w:val="single" w:color="auto" w:sz="4" w:space="0"/>
              <w:bottom w:val="single" w:color="auto" w:sz="4" w:space="0"/>
              <w:right w:val="single" w:color="auto" w:sz="4" w:space="0"/>
            </w:tcBorders>
            <w:vAlign w:val="center"/>
          </w:tcPr>
          <w:p w14:paraId="58B1EC50">
            <w:pPr>
              <w:widowControl w:val="0"/>
              <w:kinsoku/>
              <w:autoSpaceDE/>
              <w:autoSpaceDN/>
              <w:adjustRightInd w:val="0"/>
              <w:snapToGrid w:val="0"/>
              <w:spacing w:before="43" w:beforeLines="10" w:after="43" w:afterLines="10" w:line="300" w:lineRule="atLeast"/>
              <w:ind w:firstLine="0" w:firstLineChars="0"/>
              <w:textAlignment w:val="auto"/>
              <w:rPr>
                <w:rFonts w:ascii="Times New Roman" w:hAnsi="Times New Roman" w:eastAsia="仿宋_GB2312" w:cs="黑体"/>
                <w:snapToGrid w:val="0"/>
                <w:color w:val="000000"/>
                <w:kern w:val="0"/>
                <w:sz w:val="24"/>
                <w:szCs w:val="24"/>
                <w:highlight w:val="none"/>
                <w:lang w:eastAsia="zh-CN"/>
              </w:rPr>
            </w:pPr>
            <w:r>
              <w:rPr>
                <w:rFonts w:hint="eastAsia" w:ascii="Times New Roman" w:hAnsi="Times New Roman" w:eastAsia="仿宋_GB2312" w:cs="黑体"/>
                <w:snapToGrid w:val="0"/>
                <w:color w:val="000000"/>
                <w:kern w:val="0"/>
                <w:sz w:val="24"/>
                <w:szCs w:val="24"/>
                <w:highlight w:val="none"/>
                <w:lang w:eastAsia="zh-CN"/>
              </w:rPr>
              <w:t>城区内所有植被的垂直投影面积占城区面积的百分比。</w:t>
            </w:r>
          </w:p>
        </w:tc>
        <w:tc>
          <w:tcPr>
            <w:tcW w:w="630" w:type="pct"/>
            <w:tcBorders>
              <w:top w:val="single" w:color="auto" w:sz="4" w:space="0"/>
              <w:left w:val="single" w:color="auto" w:sz="4" w:space="0"/>
              <w:bottom w:val="single" w:color="auto" w:sz="4" w:space="0"/>
              <w:right w:val="single" w:color="auto" w:sz="4" w:space="0"/>
            </w:tcBorders>
            <w:vAlign w:val="center"/>
          </w:tcPr>
          <w:p w14:paraId="31EACE36">
            <w:pPr>
              <w:widowControl w:val="0"/>
              <w:kinsoku/>
              <w:autoSpaceDE/>
              <w:autoSpaceDN/>
              <w:adjustRightInd w:val="0"/>
              <w:snapToGrid w:val="0"/>
              <w:spacing w:before="43" w:beforeLines="10" w:after="43" w:afterLines="10" w:line="300" w:lineRule="atLeast"/>
              <w:ind w:firstLine="0" w:firstLineChars="0"/>
              <w:jc w:val="center"/>
              <w:textAlignment w:val="auto"/>
              <w:rPr>
                <w:rFonts w:ascii="Times New Roman" w:hAnsi="Times New Roman" w:eastAsia="仿宋_GB2312" w:cs="黑体"/>
                <w:snapToGrid w:val="0"/>
                <w:color w:val="000000"/>
                <w:kern w:val="0"/>
                <w:sz w:val="24"/>
                <w:szCs w:val="24"/>
                <w:highlight w:val="none"/>
                <w:lang w:eastAsia="zh-CN"/>
              </w:rPr>
            </w:pPr>
            <w:r>
              <w:rPr>
                <w:rFonts w:hint="eastAsia" w:ascii="Times New Roman" w:hAnsi="Times New Roman" w:eastAsia="仿宋_GB2312" w:cs="黑体"/>
                <w:snapToGrid w:val="0"/>
                <w:color w:val="000000"/>
                <w:kern w:val="0"/>
                <w:sz w:val="24"/>
                <w:szCs w:val="24"/>
                <w:highlight w:val="none"/>
                <w:lang w:eastAsia="zh-CN"/>
              </w:rPr>
              <w:t>城区</w:t>
            </w:r>
          </w:p>
        </w:tc>
      </w:tr>
      <w:tr w14:paraId="62F0A2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499" w:type="pct"/>
            <w:vMerge w:val="continue"/>
            <w:tcBorders>
              <w:top w:val="single" w:color="auto" w:sz="4" w:space="0"/>
              <w:left w:val="single" w:color="auto" w:sz="4" w:space="0"/>
              <w:bottom w:val="single" w:color="auto" w:sz="4" w:space="0"/>
              <w:right w:val="single" w:color="auto" w:sz="4" w:space="0"/>
            </w:tcBorders>
            <w:vAlign w:val="center"/>
          </w:tcPr>
          <w:p w14:paraId="2385BAD7">
            <w:pPr>
              <w:widowControl/>
              <w:kinsoku/>
              <w:autoSpaceDE/>
              <w:autoSpaceDN/>
              <w:adjustRightInd w:val="0"/>
              <w:snapToGrid w:val="0"/>
              <w:spacing w:before="10" w:after="10" w:line="300" w:lineRule="atLeast"/>
              <w:ind w:firstLine="0" w:firstLineChars="0"/>
              <w:jc w:val="left"/>
              <w:textAlignment w:val="auto"/>
              <w:rPr>
                <w:rFonts w:ascii="Times New Roman" w:hAnsi="Times New Roman" w:eastAsia="仿宋_GB2312" w:cs="黑体"/>
                <w:snapToGrid w:val="0"/>
                <w:color w:val="000000"/>
                <w:kern w:val="0"/>
                <w:sz w:val="24"/>
                <w:szCs w:val="24"/>
                <w:highlight w:val="none"/>
                <w:lang w:eastAsia="zh-CN"/>
              </w:rPr>
            </w:pPr>
          </w:p>
        </w:tc>
        <w:tc>
          <w:tcPr>
            <w:tcW w:w="294" w:type="pct"/>
            <w:tcBorders>
              <w:top w:val="single" w:color="auto" w:sz="4" w:space="0"/>
              <w:left w:val="single" w:color="auto" w:sz="4" w:space="0"/>
              <w:bottom w:val="single" w:color="auto" w:sz="4" w:space="0"/>
              <w:right w:val="single" w:color="auto" w:sz="4" w:space="0"/>
            </w:tcBorders>
            <w:vAlign w:val="center"/>
          </w:tcPr>
          <w:p w14:paraId="53B48756">
            <w:pPr>
              <w:keepNext w:val="0"/>
              <w:keepLines w:val="0"/>
              <w:pageBreakBefore w:val="0"/>
              <w:widowControl w:val="0"/>
              <w:numPr>
                <w:ilvl w:val="0"/>
                <w:numId w:val="4"/>
              </w:numPr>
              <w:tabs>
                <w:tab w:val="left" w:pos="312"/>
              </w:tabs>
              <w:kinsoku/>
              <w:wordWrap/>
              <w:overflowPunct/>
              <w:topLinePunct w:val="0"/>
              <w:autoSpaceDE/>
              <w:autoSpaceDN/>
              <w:bidi w:val="0"/>
              <w:adjustRightInd w:val="0"/>
              <w:snapToGrid w:val="0"/>
              <w:spacing w:before="43" w:beforeLines="10" w:after="43" w:afterLines="10" w:line="300" w:lineRule="atLeast"/>
              <w:ind w:firstLine="0" w:firstLineChars="0"/>
              <w:jc w:val="center"/>
              <w:textAlignment w:val="auto"/>
              <w:rPr>
                <w:rFonts w:ascii="Times New Roman" w:hAnsi="Times New Roman" w:eastAsia="仿宋_GB2312" w:cs="黑体"/>
                <w:snapToGrid w:val="0"/>
                <w:color w:val="000000"/>
                <w:kern w:val="2"/>
                <w:sz w:val="24"/>
                <w:szCs w:val="24"/>
                <w:highlight w:val="none"/>
                <w:lang w:eastAsia="zh-CN"/>
              </w:rPr>
            </w:pPr>
          </w:p>
        </w:tc>
        <w:tc>
          <w:tcPr>
            <w:tcW w:w="896" w:type="pct"/>
            <w:tcBorders>
              <w:top w:val="single" w:color="auto" w:sz="4" w:space="0"/>
              <w:left w:val="single" w:color="auto" w:sz="4" w:space="0"/>
              <w:bottom w:val="single" w:color="auto" w:sz="4" w:space="0"/>
              <w:right w:val="single" w:color="auto" w:sz="4" w:space="0"/>
            </w:tcBorders>
            <w:vAlign w:val="center"/>
          </w:tcPr>
          <w:p w14:paraId="7AB16B27">
            <w:pPr>
              <w:widowControl w:val="0"/>
              <w:kinsoku/>
              <w:autoSpaceDE/>
              <w:autoSpaceDN/>
              <w:adjustRightInd w:val="0"/>
              <w:snapToGrid w:val="0"/>
              <w:spacing w:before="43" w:beforeLines="10" w:after="43" w:afterLines="10" w:line="300" w:lineRule="atLeast"/>
              <w:ind w:firstLine="0" w:firstLineChars="0"/>
              <w:jc w:val="center"/>
              <w:textAlignment w:val="auto"/>
              <w:rPr>
                <w:rFonts w:hint="eastAsia" w:ascii="Times New Roman" w:hAnsi="Times New Roman" w:eastAsia="仿宋_GB2312" w:cs="黑体"/>
                <w:snapToGrid w:val="0"/>
                <w:color w:val="000000"/>
                <w:kern w:val="0"/>
                <w:sz w:val="24"/>
                <w:szCs w:val="24"/>
                <w:highlight w:val="none"/>
                <w:lang w:val="en-US" w:eastAsia="en-US" w:bidi="ar-SA"/>
              </w:rPr>
            </w:pPr>
            <w:r>
              <w:rPr>
                <w:rFonts w:hint="eastAsia" w:ascii="Times New Roman" w:hAnsi="Times New Roman" w:eastAsia="仿宋_GB2312" w:cs="黑体"/>
                <w:snapToGrid w:val="0"/>
                <w:color w:val="000000"/>
                <w:kern w:val="0"/>
                <w:sz w:val="24"/>
                <w:szCs w:val="24"/>
                <w:highlight w:val="none"/>
                <w:lang w:eastAsia="en-US"/>
              </w:rPr>
              <w:t>完整社区覆盖率（%）</w:t>
            </w:r>
          </w:p>
        </w:tc>
        <w:tc>
          <w:tcPr>
            <w:tcW w:w="2678" w:type="pct"/>
            <w:tcBorders>
              <w:top w:val="single" w:color="auto" w:sz="4" w:space="0"/>
              <w:left w:val="single" w:color="auto" w:sz="4" w:space="0"/>
              <w:bottom w:val="single" w:color="auto" w:sz="4" w:space="0"/>
              <w:right w:val="single" w:color="auto" w:sz="4" w:space="0"/>
            </w:tcBorders>
            <w:vAlign w:val="center"/>
          </w:tcPr>
          <w:p w14:paraId="5AB57743">
            <w:pPr>
              <w:widowControl w:val="0"/>
              <w:kinsoku/>
              <w:autoSpaceDE/>
              <w:autoSpaceDN/>
              <w:adjustRightInd w:val="0"/>
              <w:snapToGrid w:val="0"/>
              <w:spacing w:before="43" w:beforeLines="10" w:after="43" w:afterLines="10" w:line="300" w:lineRule="atLeast"/>
              <w:ind w:firstLine="0" w:firstLineChars="0"/>
              <w:textAlignment w:val="auto"/>
              <w:rPr>
                <w:rFonts w:hint="eastAsia" w:ascii="Times New Roman" w:hAnsi="Times New Roman" w:eastAsia="仿宋_GB2312" w:cs="黑体"/>
                <w:snapToGrid w:val="0"/>
                <w:color w:val="000000"/>
                <w:kern w:val="0"/>
                <w:sz w:val="24"/>
                <w:szCs w:val="24"/>
                <w:highlight w:val="none"/>
                <w:lang w:val="en-US" w:eastAsia="zh-CN" w:bidi="ar-SA"/>
              </w:rPr>
            </w:pPr>
            <w:r>
              <w:rPr>
                <w:rFonts w:hint="eastAsia" w:ascii="Times New Roman" w:hAnsi="Times New Roman" w:eastAsia="仿宋_GB2312" w:cs="黑体"/>
                <w:snapToGrid w:val="0"/>
                <w:color w:val="000000"/>
                <w:kern w:val="0"/>
                <w:sz w:val="24"/>
                <w:szCs w:val="24"/>
                <w:highlight w:val="none"/>
                <w:lang w:eastAsia="zh-CN"/>
              </w:rPr>
              <w:t>达到《完整居住社区建设标准》（DB42/T 2277-2024）的社区数量占社区总数的百分比。</w:t>
            </w:r>
          </w:p>
        </w:tc>
        <w:tc>
          <w:tcPr>
            <w:tcW w:w="630" w:type="pct"/>
            <w:tcBorders>
              <w:top w:val="single" w:color="auto" w:sz="4" w:space="0"/>
              <w:left w:val="single" w:color="auto" w:sz="4" w:space="0"/>
              <w:bottom w:val="single" w:color="auto" w:sz="4" w:space="0"/>
              <w:right w:val="single" w:color="auto" w:sz="4" w:space="0"/>
            </w:tcBorders>
            <w:vAlign w:val="center"/>
          </w:tcPr>
          <w:p w14:paraId="1E25D111">
            <w:pPr>
              <w:widowControl w:val="0"/>
              <w:kinsoku/>
              <w:autoSpaceDE/>
              <w:autoSpaceDN/>
              <w:adjustRightInd w:val="0"/>
              <w:snapToGrid w:val="0"/>
              <w:spacing w:before="43" w:beforeLines="10" w:after="43" w:afterLines="10" w:line="300" w:lineRule="atLeast"/>
              <w:ind w:firstLine="0" w:firstLineChars="0"/>
              <w:jc w:val="center"/>
              <w:textAlignment w:val="auto"/>
              <w:rPr>
                <w:rFonts w:hint="eastAsia" w:ascii="Times New Roman" w:hAnsi="Times New Roman" w:eastAsia="仿宋_GB2312" w:cs="黑体"/>
                <w:snapToGrid w:val="0"/>
                <w:color w:val="000000"/>
                <w:kern w:val="0"/>
                <w:sz w:val="24"/>
                <w:szCs w:val="24"/>
                <w:highlight w:val="none"/>
                <w:lang w:val="en-US" w:eastAsia="zh-CN" w:bidi="ar-SA"/>
              </w:rPr>
            </w:pPr>
            <w:r>
              <w:rPr>
                <w:rFonts w:hint="eastAsia" w:ascii="Times New Roman" w:hAnsi="Times New Roman" w:eastAsia="仿宋_GB2312" w:cs="黑体"/>
                <w:snapToGrid w:val="0"/>
                <w:color w:val="000000"/>
                <w:kern w:val="0"/>
                <w:sz w:val="24"/>
                <w:szCs w:val="24"/>
                <w:highlight w:val="none"/>
                <w:lang w:eastAsia="zh-CN"/>
              </w:rPr>
              <w:t>城区</w:t>
            </w:r>
          </w:p>
        </w:tc>
      </w:tr>
      <w:tr w14:paraId="0045F8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499" w:type="pct"/>
            <w:vMerge w:val="continue"/>
            <w:tcBorders>
              <w:top w:val="single" w:color="auto" w:sz="4" w:space="0"/>
              <w:left w:val="single" w:color="auto" w:sz="4" w:space="0"/>
              <w:bottom w:val="single" w:color="auto" w:sz="4" w:space="0"/>
              <w:right w:val="single" w:color="auto" w:sz="4" w:space="0"/>
            </w:tcBorders>
            <w:vAlign w:val="center"/>
          </w:tcPr>
          <w:p w14:paraId="6F770815">
            <w:pPr>
              <w:widowControl/>
              <w:kinsoku/>
              <w:autoSpaceDE/>
              <w:autoSpaceDN/>
              <w:adjustRightInd w:val="0"/>
              <w:snapToGrid w:val="0"/>
              <w:spacing w:before="10" w:after="10" w:line="300" w:lineRule="atLeast"/>
              <w:ind w:firstLine="0" w:firstLineChars="0"/>
              <w:jc w:val="left"/>
              <w:textAlignment w:val="auto"/>
              <w:rPr>
                <w:rFonts w:ascii="Times New Roman" w:hAnsi="Times New Roman" w:eastAsia="仿宋_GB2312" w:cs="黑体"/>
                <w:snapToGrid w:val="0"/>
                <w:color w:val="000000"/>
                <w:kern w:val="0"/>
                <w:sz w:val="24"/>
                <w:szCs w:val="24"/>
                <w:highlight w:val="none"/>
                <w:lang w:eastAsia="zh-CN"/>
              </w:rPr>
            </w:pPr>
          </w:p>
        </w:tc>
        <w:tc>
          <w:tcPr>
            <w:tcW w:w="294" w:type="pct"/>
            <w:tcBorders>
              <w:top w:val="single" w:color="auto" w:sz="4" w:space="0"/>
              <w:left w:val="single" w:color="auto" w:sz="4" w:space="0"/>
              <w:bottom w:val="single" w:color="auto" w:sz="4" w:space="0"/>
              <w:right w:val="single" w:color="auto" w:sz="4" w:space="0"/>
            </w:tcBorders>
            <w:vAlign w:val="center"/>
          </w:tcPr>
          <w:p w14:paraId="3561C8ED">
            <w:pPr>
              <w:keepNext w:val="0"/>
              <w:keepLines w:val="0"/>
              <w:pageBreakBefore w:val="0"/>
              <w:widowControl w:val="0"/>
              <w:numPr>
                <w:ilvl w:val="0"/>
                <w:numId w:val="4"/>
              </w:numPr>
              <w:tabs>
                <w:tab w:val="left" w:pos="312"/>
              </w:tabs>
              <w:kinsoku/>
              <w:wordWrap/>
              <w:overflowPunct/>
              <w:topLinePunct w:val="0"/>
              <w:autoSpaceDE/>
              <w:autoSpaceDN/>
              <w:bidi w:val="0"/>
              <w:adjustRightInd w:val="0"/>
              <w:snapToGrid w:val="0"/>
              <w:spacing w:before="43" w:beforeLines="10" w:after="43" w:afterLines="10" w:line="300" w:lineRule="atLeast"/>
              <w:ind w:firstLine="0" w:firstLineChars="0"/>
              <w:jc w:val="center"/>
              <w:textAlignment w:val="auto"/>
              <w:rPr>
                <w:rFonts w:ascii="Times New Roman" w:hAnsi="Times New Roman" w:eastAsia="仿宋_GB2312" w:cs="黑体"/>
                <w:snapToGrid w:val="0"/>
                <w:color w:val="000000"/>
                <w:kern w:val="2"/>
                <w:sz w:val="24"/>
                <w:szCs w:val="24"/>
                <w:highlight w:val="none"/>
                <w:lang w:eastAsia="zh-CN"/>
              </w:rPr>
            </w:pPr>
          </w:p>
        </w:tc>
        <w:tc>
          <w:tcPr>
            <w:tcW w:w="896" w:type="pct"/>
            <w:tcBorders>
              <w:top w:val="single" w:color="auto" w:sz="4" w:space="0"/>
              <w:left w:val="single" w:color="auto" w:sz="4" w:space="0"/>
              <w:bottom w:val="single" w:color="auto" w:sz="4" w:space="0"/>
              <w:right w:val="single" w:color="auto" w:sz="4" w:space="0"/>
            </w:tcBorders>
            <w:vAlign w:val="center"/>
          </w:tcPr>
          <w:p w14:paraId="2C49A637">
            <w:pPr>
              <w:widowControl w:val="0"/>
              <w:kinsoku/>
              <w:autoSpaceDE/>
              <w:autoSpaceDN/>
              <w:adjustRightInd w:val="0"/>
              <w:snapToGrid w:val="0"/>
              <w:spacing w:before="43" w:beforeLines="10" w:after="43" w:afterLines="10" w:line="300" w:lineRule="atLeast"/>
              <w:ind w:firstLine="0" w:firstLineChars="0"/>
              <w:jc w:val="center"/>
              <w:textAlignment w:val="auto"/>
              <w:rPr>
                <w:rFonts w:ascii="Times New Roman" w:hAnsi="Times New Roman" w:eastAsia="仿宋_GB2312" w:cs="黑体"/>
                <w:snapToGrid w:val="0"/>
                <w:color w:val="000000"/>
                <w:kern w:val="0"/>
                <w:sz w:val="24"/>
                <w:szCs w:val="24"/>
                <w:highlight w:val="none"/>
                <w:lang w:eastAsia="en-US"/>
              </w:rPr>
            </w:pPr>
            <w:r>
              <w:rPr>
                <w:rFonts w:hint="eastAsia" w:ascii="Times New Roman" w:hAnsi="Times New Roman" w:eastAsia="仿宋_GB2312" w:cs="黑体"/>
                <w:snapToGrid w:val="0"/>
                <w:color w:val="000000"/>
                <w:kern w:val="0"/>
                <w:sz w:val="24"/>
                <w:szCs w:val="24"/>
                <w:highlight w:val="none"/>
                <w:lang w:eastAsia="en-US"/>
              </w:rPr>
              <w:t>城市生态功能指数</w:t>
            </w:r>
          </w:p>
        </w:tc>
        <w:tc>
          <w:tcPr>
            <w:tcW w:w="2678" w:type="pct"/>
            <w:tcBorders>
              <w:top w:val="single" w:color="auto" w:sz="4" w:space="0"/>
              <w:left w:val="single" w:color="auto" w:sz="4" w:space="0"/>
              <w:bottom w:val="single" w:color="auto" w:sz="4" w:space="0"/>
              <w:right w:val="single" w:color="auto" w:sz="4" w:space="0"/>
            </w:tcBorders>
            <w:vAlign w:val="center"/>
          </w:tcPr>
          <w:p w14:paraId="7AD5D3E0">
            <w:pPr>
              <w:widowControl w:val="0"/>
              <w:kinsoku/>
              <w:autoSpaceDE/>
              <w:autoSpaceDN/>
              <w:adjustRightInd w:val="0"/>
              <w:snapToGrid w:val="0"/>
              <w:spacing w:before="43" w:beforeLines="10" w:after="43" w:afterLines="10" w:line="300" w:lineRule="atLeast"/>
              <w:ind w:firstLine="0" w:firstLineChars="0"/>
              <w:textAlignment w:val="auto"/>
              <w:rPr>
                <w:rFonts w:ascii="Times New Roman" w:hAnsi="Times New Roman" w:eastAsia="仿宋_GB2312" w:cs="黑体"/>
                <w:snapToGrid w:val="0"/>
                <w:color w:val="000000"/>
                <w:kern w:val="0"/>
                <w:sz w:val="24"/>
                <w:szCs w:val="24"/>
                <w:highlight w:val="none"/>
                <w:lang w:eastAsia="zh-CN"/>
              </w:rPr>
            </w:pPr>
            <w:r>
              <w:rPr>
                <w:rFonts w:hint="eastAsia" w:ascii="Times New Roman" w:hAnsi="Times New Roman" w:eastAsia="仿宋_GB2312" w:cs="黑体"/>
                <w:snapToGrid w:val="0"/>
                <w:color w:val="000000"/>
                <w:kern w:val="0"/>
                <w:sz w:val="24"/>
                <w:szCs w:val="24"/>
                <w:highlight w:val="none"/>
                <w:lang w:eastAsia="zh-CN"/>
              </w:rPr>
              <w:t>参照《区域生态质量评价办法（试行）》中的“区域生态质量评价指标体系”计算。</w:t>
            </w:r>
          </w:p>
        </w:tc>
        <w:tc>
          <w:tcPr>
            <w:tcW w:w="630" w:type="pct"/>
            <w:tcBorders>
              <w:top w:val="single" w:color="auto" w:sz="4" w:space="0"/>
              <w:left w:val="single" w:color="auto" w:sz="4" w:space="0"/>
              <w:bottom w:val="single" w:color="auto" w:sz="4" w:space="0"/>
              <w:right w:val="single" w:color="auto" w:sz="4" w:space="0"/>
            </w:tcBorders>
            <w:vAlign w:val="center"/>
          </w:tcPr>
          <w:p w14:paraId="384364B7">
            <w:pPr>
              <w:widowControl w:val="0"/>
              <w:kinsoku/>
              <w:autoSpaceDE/>
              <w:autoSpaceDN/>
              <w:adjustRightInd w:val="0"/>
              <w:snapToGrid w:val="0"/>
              <w:spacing w:before="43" w:beforeLines="10" w:after="43" w:afterLines="10" w:line="300" w:lineRule="atLeast"/>
              <w:ind w:firstLine="0" w:firstLineChars="0"/>
              <w:jc w:val="center"/>
              <w:textAlignment w:val="auto"/>
              <w:rPr>
                <w:rFonts w:hint="eastAsia" w:ascii="Times New Roman" w:hAnsi="Times New Roman" w:eastAsia="仿宋_GB2312" w:cs="黑体"/>
                <w:snapToGrid w:val="0"/>
                <w:color w:val="000000"/>
                <w:kern w:val="0"/>
                <w:sz w:val="24"/>
                <w:szCs w:val="24"/>
                <w:highlight w:val="none"/>
                <w:lang w:eastAsia="zh-CN"/>
              </w:rPr>
            </w:pPr>
            <w:r>
              <w:rPr>
                <w:rFonts w:hint="eastAsia" w:ascii="Times New Roman" w:hAnsi="Times New Roman" w:eastAsia="仿宋_GB2312" w:cs="黑体"/>
                <w:snapToGrid w:val="0"/>
                <w:color w:val="000000"/>
                <w:kern w:val="0"/>
                <w:sz w:val="24"/>
                <w:szCs w:val="24"/>
                <w:highlight w:val="none"/>
                <w:lang w:eastAsia="zh-CN"/>
              </w:rPr>
              <w:t>城区</w:t>
            </w:r>
          </w:p>
        </w:tc>
      </w:tr>
      <w:tr w14:paraId="1E6048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499" w:type="pct"/>
            <w:vMerge w:val="continue"/>
            <w:tcBorders>
              <w:top w:val="single" w:color="auto" w:sz="4" w:space="0"/>
              <w:left w:val="single" w:color="auto" w:sz="4" w:space="0"/>
              <w:bottom w:val="single" w:color="auto" w:sz="4" w:space="0"/>
              <w:right w:val="single" w:color="auto" w:sz="4" w:space="0"/>
            </w:tcBorders>
            <w:vAlign w:val="center"/>
          </w:tcPr>
          <w:p w14:paraId="796F4D92">
            <w:pPr>
              <w:widowControl/>
              <w:kinsoku/>
              <w:autoSpaceDE/>
              <w:autoSpaceDN/>
              <w:adjustRightInd w:val="0"/>
              <w:snapToGrid w:val="0"/>
              <w:spacing w:before="10" w:after="10" w:line="300" w:lineRule="atLeast"/>
              <w:ind w:firstLine="0" w:firstLineChars="0"/>
              <w:jc w:val="left"/>
              <w:textAlignment w:val="auto"/>
              <w:rPr>
                <w:rFonts w:ascii="Times New Roman" w:hAnsi="Times New Roman" w:eastAsia="仿宋_GB2312" w:cs="黑体"/>
                <w:snapToGrid w:val="0"/>
                <w:color w:val="000000"/>
                <w:kern w:val="0"/>
                <w:sz w:val="24"/>
                <w:szCs w:val="24"/>
                <w:highlight w:val="none"/>
                <w:lang w:eastAsia="en-US"/>
              </w:rPr>
            </w:pPr>
          </w:p>
        </w:tc>
        <w:tc>
          <w:tcPr>
            <w:tcW w:w="294" w:type="pct"/>
            <w:tcBorders>
              <w:top w:val="single" w:color="auto" w:sz="4" w:space="0"/>
              <w:left w:val="single" w:color="auto" w:sz="4" w:space="0"/>
              <w:bottom w:val="single" w:color="auto" w:sz="4" w:space="0"/>
              <w:right w:val="single" w:color="auto" w:sz="4" w:space="0"/>
            </w:tcBorders>
            <w:vAlign w:val="center"/>
          </w:tcPr>
          <w:p w14:paraId="661F9BD2">
            <w:pPr>
              <w:keepNext w:val="0"/>
              <w:keepLines w:val="0"/>
              <w:pageBreakBefore w:val="0"/>
              <w:widowControl w:val="0"/>
              <w:numPr>
                <w:ilvl w:val="0"/>
                <w:numId w:val="4"/>
              </w:numPr>
              <w:tabs>
                <w:tab w:val="left" w:pos="312"/>
              </w:tabs>
              <w:kinsoku/>
              <w:wordWrap/>
              <w:overflowPunct/>
              <w:topLinePunct w:val="0"/>
              <w:autoSpaceDE/>
              <w:autoSpaceDN/>
              <w:bidi w:val="0"/>
              <w:adjustRightInd w:val="0"/>
              <w:snapToGrid w:val="0"/>
              <w:spacing w:before="43" w:beforeLines="10" w:after="43" w:afterLines="10" w:line="300" w:lineRule="atLeast"/>
              <w:ind w:firstLine="0" w:firstLineChars="0"/>
              <w:jc w:val="center"/>
              <w:textAlignment w:val="auto"/>
              <w:rPr>
                <w:rFonts w:ascii="Times New Roman" w:hAnsi="Times New Roman" w:eastAsia="仿宋_GB2312" w:cs="黑体"/>
                <w:snapToGrid w:val="0"/>
                <w:color w:val="000000"/>
                <w:kern w:val="2"/>
                <w:sz w:val="24"/>
                <w:szCs w:val="24"/>
                <w:highlight w:val="none"/>
                <w:lang w:eastAsia="en-US"/>
              </w:rPr>
            </w:pPr>
          </w:p>
        </w:tc>
        <w:tc>
          <w:tcPr>
            <w:tcW w:w="896" w:type="pct"/>
            <w:tcBorders>
              <w:top w:val="single" w:color="auto" w:sz="4" w:space="0"/>
              <w:left w:val="single" w:color="auto" w:sz="4" w:space="0"/>
              <w:bottom w:val="single" w:color="auto" w:sz="4" w:space="0"/>
              <w:right w:val="single" w:color="auto" w:sz="4" w:space="0"/>
            </w:tcBorders>
            <w:vAlign w:val="center"/>
          </w:tcPr>
          <w:p w14:paraId="73D4F4B1">
            <w:pPr>
              <w:widowControl w:val="0"/>
              <w:kinsoku/>
              <w:autoSpaceDE/>
              <w:autoSpaceDN/>
              <w:adjustRightInd w:val="0"/>
              <w:snapToGrid w:val="0"/>
              <w:spacing w:before="43" w:beforeLines="10" w:after="43" w:afterLines="10" w:line="300" w:lineRule="atLeast"/>
              <w:ind w:firstLine="0" w:firstLineChars="0"/>
              <w:jc w:val="center"/>
              <w:textAlignment w:val="auto"/>
              <w:rPr>
                <w:rFonts w:ascii="Times New Roman" w:hAnsi="Times New Roman" w:eastAsia="仿宋_GB2312" w:cs="黑体"/>
                <w:snapToGrid w:val="0"/>
                <w:color w:val="000000"/>
                <w:kern w:val="0"/>
                <w:sz w:val="24"/>
                <w:szCs w:val="24"/>
                <w:highlight w:val="none"/>
                <w:lang w:eastAsia="zh-CN"/>
              </w:rPr>
            </w:pPr>
            <w:r>
              <w:rPr>
                <w:rFonts w:hint="eastAsia" w:ascii="Times New Roman" w:hAnsi="Times New Roman" w:eastAsia="仿宋_GB2312" w:cs="黑体"/>
                <w:snapToGrid w:val="0"/>
                <w:color w:val="000000"/>
                <w:kern w:val="0"/>
                <w:sz w:val="24"/>
                <w:szCs w:val="24"/>
                <w:highlight w:val="none"/>
                <w:lang w:eastAsia="zh-CN"/>
              </w:rPr>
              <w:t>本土物种生物多样性水平</w:t>
            </w:r>
          </w:p>
        </w:tc>
        <w:tc>
          <w:tcPr>
            <w:tcW w:w="2678" w:type="pct"/>
            <w:tcBorders>
              <w:top w:val="single" w:color="auto" w:sz="4" w:space="0"/>
              <w:left w:val="single" w:color="auto" w:sz="4" w:space="0"/>
              <w:bottom w:val="single" w:color="auto" w:sz="4" w:space="0"/>
              <w:right w:val="single" w:color="auto" w:sz="4" w:space="0"/>
            </w:tcBorders>
            <w:vAlign w:val="center"/>
          </w:tcPr>
          <w:p w14:paraId="53BA7CB3">
            <w:pPr>
              <w:widowControl w:val="0"/>
              <w:kinsoku/>
              <w:autoSpaceDE/>
              <w:autoSpaceDN/>
              <w:adjustRightInd w:val="0"/>
              <w:snapToGrid w:val="0"/>
              <w:spacing w:before="43" w:beforeLines="10" w:after="43" w:afterLines="10" w:line="300" w:lineRule="atLeast"/>
              <w:ind w:firstLine="0" w:firstLineChars="0"/>
              <w:textAlignment w:val="auto"/>
              <w:rPr>
                <w:rFonts w:ascii="Times New Roman" w:hAnsi="Times New Roman" w:eastAsia="仿宋_GB2312" w:cs="黑体"/>
                <w:snapToGrid w:val="0"/>
                <w:color w:val="000000"/>
                <w:kern w:val="0"/>
                <w:sz w:val="24"/>
                <w:szCs w:val="24"/>
                <w:highlight w:val="none"/>
                <w:lang w:eastAsia="zh-CN"/>
              </w:rPr>
            </w:pPr>
            <w:r>
              <w:rPr>
                <w:rFonts w:hint="eastAsia" w:ascii="Times New Roman" w:hAnsi="Times New Roman" w:eastAsia="仿宋_GB2312" w:cs="黑体"/>
                <w:snapToGrid w:val="0"/>
                <w:color w:val="000000"/>
                <w:kern w:val="2"/>
                <w:sz w:val="24"/>
                <w:szCs w:val="24"/>
                <w:highlight w:val="none"/>
                <w:lang w:eastAsia="zh-CN"/>
              </w:rPr>
              <w:t>依据生物多样性调查研判本土物种情况以及外来入侵物种情况。</w:t>
            </w:r>
          </w:p>
        </w:tc>
        <w:tc>
          <w:tcPr>
            <w:tcW w:w="630" w:type="pct"/>
            <w:tcBorders>
              <w:top w:val="single" w:color="auto" w:sz="4" w:space="0"/>
              <w:left w:val="single" w:color="auto" w:sz="4" w:space="0"/>
              <w:bottom w:val="single" w:color="auto" w:sz="4" w:space="0"/>
              <w:right w:val="single" w:color="auto" w:sz="4" w:space="0"/>
            </w:tcBorders>
            <w:vAlign w:val="center"/>
          </w:tcPr>
          <w:p w14:paraId="131A4D1B">
            <w:pPr>
              <w:widowControl w:val="0"/>
              <w:kinsoku/>
              <w:autoSpaceDE/>
              <w:autoSpaceDN/>
              <w:adjustRightInd w:val="0"/>
              <w:snapToGrid w:val="0"/>
              <w:spacing w:before="43" w:beforeLines="10" w:after="43" w:afterLines="10" w:line="300" w:lineRule="atLeast"/>
              <w:ind w:firstLine="0" w:firstLineChars="0"/>
              <w:jc w:val="center"/>
              <w:textAlignment w:val="auto"/>
              <w:rPr>
                <w:rFonts w:hint="eastAsia" w:ascii="Times New Roman" w:hAnsi="Times New Roman" w:eastAsia="仿宋_GB2312" w:cs="黑体"/>
                <w:snapToGrid w:val="0"/>
                <w:color w:val="000000"/>
                <w:kern w:val="0"/>
                <w:sz w:val="24"/>
                <w:szCs w:val="24"/>
                <w:highlight w:val="none"/>
                <w:lang w:eastAsia="zh-CN"/>
              </w:rPr>
            </w:pPr>
            <w:r>
              <w:rPr>
                <w:rFonts w:hint="eastAsia" w:ascii="Times New Roman" w:hAnsi="Times New Roman" w:eastAsia="仿宋_GB2312" w:cs="黑体"/>
                <w:snapToGrid w:val="0"/>
                <w:color w:val="000000"/>
                <w:kern w:val="0"/>
                <w:sz w:val="24"/>
                <w:szCs w:val="24"/>
                <w:highlight w:val="none"/>
                <w:lang w:eastAsia="en-US"/>
              </w:rPr>
              <w:t>市域</w:t>
            </w:r>
          </w:p>
        </w:tc>
      </w:tr>
      <w:tr w14:paraId="595273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499" w:type="pct"/>
            <w:vMerge w:val="continue"/>
            <w:tcBorders>
              <w:top w:val="single" w:color="auto" w:sz="4" w:space="0"/>
              <w:left w:val="single" w:color="auto" w:sz="4" w:space="0"/>
              <w:bottom w:val="single" w:color="auto" w:sz="4" w:space="0"/>
              <w:right w:val="single" w:color="auto" w:sz="4" w:space="0"/>
            </w:tcBorders>
            <w:vAlign w:val="center"/>
          </w:tcPr>
          <w:p w14:paraId="34418177">
            <w:pPr>
              <w:widowControl/>
              <w:kinsoku/>
              <w:autoSpaceDE/>
              <w:autoSpaceDN/>
              <w:adjustRightInd w:val="0"/>
              <w:snapToGrid w:val="0"/>
              <w:spacing w:before="10" w:after="10" w:line="300" w:lineRule="atLeast"/>
              <w:ind w:firstLine="0" w:firstLineChars="0"/>
              <w:jc w:val="left"/>
              <w:textAlignment w:val="auto"/>
              <w:rPr>
                <w:rFonts w:ascii="Times New Roman" w:hAnsi="Times New Roman" w:eastAsia="仿宋_GB2312" w:cs="黑体"/>
                <w:snapToGrid w:val="0"/>
                <w:color w:val="000000"/>
                <w:kern w:val="0"/>
                <w:sz w:val="24"/>
                <w:szCs w:val="24"/>
                <w:highlight w:val="none"/>
                <w:lang w:eastAsia="en-US"/>
              </w:rPr>
            </w:pPr>
          </w:p>
        </w:tc>
        <w:tc>
          <w:tcPr>
            <w:tcW w:w="294" w:type="pct"/>
            <w:tcBorders>
              <w:top w:val="single" w:color="auto" w:sz="4" w:space="0"/>
              <w:left w:val="single" w:color="auto" w:sz="4" w:space="0"/>
              <w:bottom w:val="single" w:color="auto" w:sz="4" w:space="0"/>
              <w:right w:val="single" w:color="auto" w:sz="4" w:space="0"/>
            </w:tcBorders>
            <w:vAlign w:val="center"/>
          </w:tcPr>
          <w:p w14:paraId="43207D00">
            <w:pPr>
              <w:keepNext w:val="0"/>
              <w:keepLines w:val="0"/>
              <w:pageBreakBefore w:val="0"/>
              <w:widowControl w:val="0"/>
              <w:numPr>
                <w:ilvl w:val="0"/>
                <w:numId w:val="4"/>
              </w:numPr>
              <w:tabs>
                <w:tab w:val="left" w:pos="312"/>
              </w:tabs>
              <w:kinsoku/>
              <w:wordWrap/>
              <w:overflowPunct/>
              <w:topLinePunct w:val="0"/>
              <w:autoSpaceDE/>
              <w:autoSpaceDN/>
              <w:bidi w:val="0"/>
              <w:adjustRightInd w:val="0"/>
              <w:snapToGrid w:val="0"/>
              <w:spacing w:before="43" w:beforeLines="10" w:after="43" w:afterLines="10" w:line="300" w:lineRule="atLeast"/>
              <w:ind w:firstLine="0" w:firstLineChars="0"/>
              <w:jc w:val="center"/>
              <w:textAlignment w:val="auto"/>
              <w:rPr>
                <w:rFonts w:ascii="Times New Roman" w:hAnsi="Times New Roman" w:eastAsia="仿宋_GB2312" w:cs="黑体"/>
                <w:snapToGrid w:val="0"/>
                <w:color w:val="000000"/>
                <w:kern w:val="2"/>
                <w:sz w:val="24"/>
                <w:szCs w:val="24"/>
                <w:highlight w:val="none"/>
                <w:lang w:eastAsia="en-US"/>
              </w:rPr>
            </w:pPr>
          </w:p>
        </w:tc>
        <w:tc>
          <w:tcPr>
            <w:tcW w:w="896" w:type="pct"/>
            <w:tcBorders>
              <w:top w:val="single" w:color="auto" w:sz="4" w:space="0"/>
              <w:left w:val="single" w:color="auto" w:sz="4" w:space="0"/>
              <w:bottom w:val="single" w:color="auto" w:sz="4" w:space="0"/>
              <w:right w:val="single" w:color="auto" w:sz="4" w:space="0"/>
            </w:tcBorders>
            <w:vAlign w:val="center"/>
          </w:tcPr>
          <w:p w14:paraId="5745EF2D">
            <w:pPr>
              <w:widowControl w:val="0"/>
              <w:kinsoku/>
              <w:autoSpaceDE/>
              <w:autoSpaceDN/>
              <w:adjustRightInd w:val="0"/>
              <w:snapToGrid w:val="0"/>
              <w:spacing w:before="43" w:beforeLines="10" w:after="43" w:afterLines="10" w:line="300" w:lineRule="atLeast"/>
              <w:ind w:firstLine="0" w:firstLineChars="0"/>
              <w:jc w:val="center"/>
              <w:textAlignment w:val="auto"/>
              <w:rPr>
                <w:rFonts w:ascii="Times New Roman" w:hAnsi="Times New Roman" w:eastAsia="仿宋_GB2312" w:cs="黑体"/>
                <w:snapToGrid w:val="0"/>
                <w:color w:val="000000"/>
                <w:kern w:val="2"/>
                <w:sz w:val="24"/>
                <w:szCs w:val="24"/>
                <w:highlight w:val="none"/>
                <w:lang w:eastAsia="zh-CN"/>
              </w:rPr>
            </w:pPr>
            <w:r>
              <w:rPr>
                <w:rFonts w:hint="eastAsia" w:ascii="Times New Roman" w:hAnsi="Times New Roman" w:eastAsia="仿宋_GB2312" w:cs="黑体"/>
                <w:snapToGrid w:val="0"/>
                <w:color w:val="000000"/>
                <w:kern w:val="2"/>
                <w:sz w:val="24"/>
                <w:szCs w:val="24"/>
                <w:highlight w:val="none"/>
                <w:lang w:eastAsia="zh-CN"/>
              </w:rPr>
              <w:t>市容环境暗访得分</w:t>
            </w:r>
            <w:r>
              <w:rPr>
                <w:rFonts w:hint="eastAsia" w:ascii="Times New Roman" w:hAnsi="Times New Roman" w:eastAsia="仿宋_GB2312" w:cs="黑体"/>
                <w:snapToGrid w:val="0"/>
                <w:color w:val="000000"/>
                <w:kern w:val="0"/>
                <w:sz w:val="24"/>
                <w:szCs w:val="24"/>
                <w:highlight w:val="none"/>
                <w:lang w:eastAsia="zh-CN"/>
              </w:rPr>
              <w:t>（分）</w:t>
            </w:r>
          </w:p>
        </w:tc>
        <w:tc>
          <w:tcPr>
            <w:tcW w:w="2678" w:type="pct"/>
            <w:tcBorders>
              <w:top w:val="single" w:color="auto" w:sz="4" w:space="0"/>
              <w:left w:val="single" w:color="auto" w:sz="4" w:space="0"/>
              <w:bottom w:val="single" w:color="auto" w:sz="4" w:space="0"/>
              <w:right w:val="single" w:color="auto" w:sz="4" w:space="0"/>
            </w:tcBorders>
            <w:vAlign w:val="center"/>
          </w:tcPr>
          <w:p w14:paraId="455257F5">
            <w:pPr>
              <w:widowControl w:val="0"/>
              <w:kinsoku/>
              <w:autoSpaceDE/>
              <w:autoSpaceDN/>
              <w:adjustRightInd w:val="0"/>
              <w:snapToGrid w:val="0"/>
              <w:spacing w:before="43" w:beforeLines="10" w:after="43" w:afterLines="10" w:line="300" w:lineRule="atLeast"/>
              <w:ind w:firstLine="0" w:firstLineChars="0"/>
              <w:textAlignment w:val="auto"/>
              <w:rPr>
                <w:rFonts w:ascii="Times New Roman" w:hAnsi="Times New Roman" w:eastAsia="仿宋_GB2312" w:cs="黑体"/>
                <w:snapToGrid w:val="0"/>
                <w:color w:val="000000"/>
                <w:kern w:val="2"/>
                <w:sz w:val="24"/>
                <w:szCs w:val="24"/>
                <w:highlight w:val="none"/>
                <w:lang w:eastAsia="zh-CN"/>
              </w:rPr>
            </w:pPr>
            <w:r>
              <w:rPr>
                <w:rFonts w:hint="eastAsia" w:ascii="Times New Roman" w:hAnsi="Times New Roman" w:eastAsia="仿宋_GB2312" w:cs="黑体"/>
                <w:snapToGrid w:val="0"/>
                <w:color w:val="000000"/>
                <w:kern w:val="2"/>
                <w:sz w:val="24"/>
                <w:szCs w:val="24"/>
                <w:highlight w:val="none"/>
                <w:lang w:eastAsia="zh-CN"/>
              </w:rPr>
              <w:t>依据《城市市容市貌干净整洁有序安全标准（试行）》《城市管理监督指标体系》，由第三方按照一类、二类、三类、四类、五类城市，每季度随机抽取不同类型区域相应数量的评价网格，综合评价确定得分。</w:t>
            </w:r>
          </w:p>
        </w:tc>
        <w:tc>
          <w:tcPr>
            <w:tcW w:w="630" w:type="pct"/>
            <w:tcBorders>
              <w:top w:val="single" w:color="auto" w:sz="4" w:space="0"/>
              <w:left w:val="single" w:color="auto" w:sz="4" w:space="0"/>
              <w:bottom w:val="single" w:color="auto" w:sz="4" w:space="0"/>
              <w:right w:val="single" w:color="auto" w:sz="4" w:space="0"/>
            </w:tcBorders>
            <w:vAlign w:val="center"/>
          </w:tcPr>
          <w:p w14:paraId="20A56977">
            <w:pPr>
              <w:widowControl w:val="0"/>
              <w:kinsoku/>
              <w:autoSpaceDE/>
              <w:autoSpaceDN/>
              <w:adjustRightInd w:val="0"/>
              <w:snapToGrid w:val="0"/>
              <w:spacing w:before="43" w:beforeLines="10" w:after="43" w:afterLines="10" w:line="300" w:lineRule="atLeast"/>
              <w:ind w:firstLine="0" w:firstLineChars="0"/>
              <w:jc w:val="center"/>
              <w:textAlignment w:val="auto"/>
              <w:rPr>
                <w:rFonts w:ascii="Times New Roman" w:hAnsi="Times New Roman" w:eastAsia="仿宋_GB2312" w:cs="黑体"/>
                <w:snapToGrid w:val="0"/>
                <w:color w:val="000000"/>
                <w:kern w:val="2"/>
                <w:sz w:val="24"/>
                <w:szCs w:val="24"/>
                <w:highlight w:val="none"/>
                <w:lang w:eastAsia="zh-CN"/>
              </w:rPr>
            </w:pPr>
            <w:r>
              <w:rPr>
                <w:rFonts w:hint="eastAsia" w:ascii="Times New Roman" w:hAnsi="Times New Roman" w:eastAsia="仿宋_GB2312" w:cs="黑体"/>
                <w:snapToGrid w:val="0"/>
                <w:color w:val="000000"/>
                <w:kern w:val="2"/>
                <w:sz w:val="24"/>
                <w:szCs w:val="24"/>
                <w:highlight w:val="none"/>
                <w:lang w:eastAsia="zh-CN"/>
              </w:rPr>
              <w:t>城区</w:t>
            </w:r>
          </w:p>
        </w:tc>
      </w:tr>
      <w:tr w14:paraId="3CE9FC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499" w:type="pct"/>
            <w:vMerge w:val="continue"/>
            <w:tcBorders>
              <w:top w:val="single" w:color="auto" w:sz="4" w:space="0"/>
              <w:left w:val="single" w:color="auto" w:sz="4" w:space="0"/>
              <w:bottom w:val="single" w:color="auto" w:sz="4" w:space="0"/>
              <w:right w:val="single" w:color="auto" w:sz="4" w:space="0"/>
            </w:tcBorders>
            <w:vAlign w:val="center"/>
          </w:tcPr>
          <w:p w14:paraId="67FD6F0B">
            <w:pPr>
              <w:widowControl/>
              <w:kinsoku/>
              <w:autoSpaceDE/>
              <w:autoSpaceDN/>
              <w:adjustRightInd w:val="0"/>
              <w:snapToGrid w:val="0"/>
              <w:spacing w:before="10" w:after="10" w:line="300" w:lineRule="atLeast"/>
              <w:ind w:firstLine="0" w:firstLineChars="0"/>
              <w:jc w:val="left"/>
              <w:textAlignment w:val="auto"/>
              <w:rPr>
                <w:rFonts w:ascii="Times New Roman" w:hAnsi="Times New Roman" w:eastAsia="仿宋_GB2312" w:cs="黑体"/>
                <w:snapToGrid w:val="0"/>
                <w:color w:val="000000"/>
                <w:kern w:val="0"/>
                <w:sz w:val="24"/>
                <w:szCs w:val="24"/>
                <w:highlight w:val="none"/>
                <w:lang w:eastAsia="en-US"/>
              </w:rPr>
            </w:pPr>
          </w:p>
        </w:tc>
        <w:tc>
          <w:tcPr>
            <w:tcW w:w="294" w:type="pct"/>
            <w:tcBorders>
              <w:top w:val="single" w:color="auto" w:sz="4" w:space="0"/>
              <w:left w:val="single" w:color="auto" w:sz="4" w:space="0"/>
              <w:bottom w:val="single" w:color="auto" w:sz="4" w:space="0"/>
              <w:right w:val="single" w:color="auto" w:sz="4" w:space="0"/>
            </w:tcBorders>
            <w:vAlign w:val="center"/>
          </w:tcPr>
          <w:p w14:paraId="6E8DA7C2">
            <w:pPr>
              <w:keepNext w:val="0"/>
              <w:keepLines w:val="0"/>
              <w:pageBreakBefore w:val="0"/>
              <w:widowControl w:val="0"/>
              <w:numPr>
                <w:ilvl w:val="0"/>
                <w:numId w:val="4"/>
              </w:numPr>
              <w:tabs>
                <w:tab w:val="left" w:pos="312"/>
              </w:tabs>
              <w:kinsoku/>
              <w:wordWrap/>
              <w:overflowPunct/>
              <w:topLinePunct w:val="0"/>
              <w:autoSpaceDE/>
              <w:autoSpaceDN/>
              <w:bidi w:val="0"/>
              <w:adjustRightInd w:val="0"/>
              <w:snapToGrid w:val="0"/>
              <w:spacing w:before="43" w:beforeLines="10" w:after="43" w:afterLines="10" w:line="300" w:lineRule="atLeast"/>
              <w:ind w:firstLine="0" w:firstLineChars="0"/>
              <w:jc w:val="center"/>
              <w:textAlignment w:val="auto"/>
              <w:rPr>
                <w:rFonts w:ascii="Times New Roman" w:hAnsi="Times New Roman" w:eastAsia="仿宋_GB2312" w:cs="黑体"/>
                <w:snapToGrid w:val="0"/>
                <w:color w:val="000000"/>
                <w:kern w:val="2"/>
                <w:sz w:val="24"/>
                <w:szCs w:val="24"/>
                <w:highlight w:val="none"/>
                <w:lang w:eastAsia="en-US"/>
              </w:rPr>
            </w:pPr>
          </w:p>
        </w:tc>
        <w:tc>
          <w:tcPr>
            <w:tcW w:w="896" w:type="pct"/>
            <w:tcBorders>
              <w:top w:val="single" w:color="auto" w:sz="4" w:space="0"/>
              <w:left w:val="single" w:color="auto" w:sz="4" w:space="0"/>
              <w:bottom w:val="single" w:color="auto" w:sz="4" w:space="0"/>
              <w:right w:val="single" w:color="auto" w:sz="4" w:space="0"/>
            </w:tcBorders>
            <w:vAlign w:val="center"/>
          </w:tcPr>
          <w:p w14:paraId="16179BFB">
            <w:pPr>
              <w:widowControl w:val="0"/>
              <w:kinsoku/>
              <w:autoSpaceDE/>
              <w:autoSpaceDN/>
              <w:adjustRightInd w:val="0"/>
              <w:snapToGrid w:val="0"/>
              <w:spacing w:before="43" w:beforeLines="10" w:after="43" w:afterLines="10" w:line="300" w:lineRule="atLeast"/>
              <w:ind w:firstLine="0" w:firstLineChars="0"/>
              <w:jc w:val="center"/>
              <w:textAlignment w:val="auto"/>
              <w:rPr>
                <w:rFonts w:ascii="Times New Roman" w:hAnsi="Times New Roman" w:eastAsia="仿宋_GB2312" w:cs="黑体"/>
                <w:snapToGrid w:val="0"/>
                <w:color w:val="000000"/>
                <w:kern w:val="0"/>
                <w:sz w:val="24"/>
                <w:szCs w:val="24"/>
                <w:highlight w:val="none"/>
                <w:lang w:eastAsia="zh-CN"/>
              </w:rPr>
            </w:pPr>
            <w:r>
              <w:rPr>
                <w:rFonts w:hint="eastAsia" w:ascii="Times New Roman" w:hAnsi="Times New Roman" w:eastAsia="仿宋_GB2312" w:cs="黑体"/>
                <w:snapToGrid w:val="0"/>
                <w:color w:val="000000"/>
                <w:kern w:val="0"/>
                <w:sz w:val="24"/>
                <w:szCs w:val="24"/>
                <w:highlight w:val="none"/>
                <w:lang w:eastAsia="zh-CN"/>
              </w:rPr>
              <w:t>城区15分钟社区生活圈覆盖率（%）</w:t>
            </w:r>
          </w:p>
        </w:tc>
        <w:tc>
          <w:tcPr>
            <w:tcW w:w="2678" w:type="pct"/>
            <w:tcBorders>
              <w:top w:val="single" w:color="auto" w:sz="4" w:space="0"/>
              <w:left w:val="single" w:color="auto" w:sz="4" w:space="0"/>
              <w:bottom w:val="single" w:color="auto" w:sz="4" w:space="0"/>
              <w:right w:val="single" w:color="auto" w:sz="4" w:space="0"/>
            </w:tcBorders>
            <w:vAlign w:val="center"/>
          </w:tcPr>
          <w:p w14:paraId="5AF42F72">
            <w:pPr>
              <w:widowControl w:val="0"/>
              <w:kinsoku/>
              <w:autoSpaceDE/>
              <w:autoSpaceDN/>
              <w:adjustRightInd w:val="0"/>
              <w:snapToGrid w:val="0"/>
              <w:spacing w:before="43" w:beforeLines="10" w:after="43" w:afterLines="10" w:line="300" w:lineRule="atLeast"/>
              <w:ind w:firstLine="0" w:firstLineChars="0"/>
              <w:textAlignment w:val="auto"/>
              <w:rPr>
                <w:rFonts w:ascii="Times New Roman" w:hAnsi="Times New Roman" w:eastAsia="仿宋_GB2312" w:cs="黑体"/>
                <w:snapToGrid w:val="0"/>
                <w:color w:val="000000"/>
                <w:kern w:val="0"/>
                <w:sz w:val="24"/>
                <w:szCs w:val="24"/>
                <w:highlight w:val="none"/>
                <w:lang w:eastAsia="zh-CN"/>
              </w:rPr>
            </w:pPr>
            <w:r>
              <w:rPr>
                <w:rFonts w:hint="eastAsia" w:ascii="Times New Roman" w:hAnsi="Times New Roman" w:eastAsia="仿宋_GB2312" w:cs="黑体"/>
                <w:snapToGrid w:val="0"/>
                <w:color w:val="000000"/>
                <w:kern w:val="0"/>
                <w:sz w:val="24"/>
                <w:szCs w:val="24"/>
                <w:highlight w:val="none"/>
                <w:lang w:eastAsia="zh-CN"/>
              </w:rPr>
              <w:t>城区15分钟社区生活圈的各类服务设施和服务项目可覆盖的社区个数占社区总个数的比例。</w:t>
            </w:r>
          </w:p>
        </w:tc>
        <w:tc>
          <w:tcPr>
            <w:tcW w:w="630" w:type="pct"/>
            <w:tcBorders>
              <w:top w:val="single" w:color="auto" w:sz="4" w:space="0"/>
              <w:left w:val="single" w:color="auto" w:sz="4" w:space="0"/>
              <w:right w:val="single" w:color="auto" w:sz="4" w:space="0"/>
            </w:tcBorders>
            <w:vAlign w:val="center"/>
          </w:tcPr>
          <w:p w14:paraId="64E25399">
            <w:pPr>
              <w:widowControl w:val="0"/>
              <w:kinsoku/>
              <w:autoSpaceDE/>
              <w:autoSpaceDN/>
              <w:adjustRightInd w:val="0"/>
              <w:snapToGrid w:val="0"/>
              <w:spacing w:before="43" w:beforeLines="10" w:after="43" w:afterLines="10" w:line="300" w:lineRule="atLeast"/>
              <w:ind w:firstLine="0" w:firstLineChars="0"/>
              <w:jc w:val="center"/>
              <w:textAlignment w:val="auto"/>
              <w:rPr>
                <w:rFonts w:ascii="Times New Roman" w:hAnsi="Times New Roman" w:eastAsia="仿宋_GB2312" w:cs="黑体"/>
                <w:snapToGrid w:val="0"/>
                <w:color w:val="000000"/>
                <w:kern w:val="0"/>
                <w:sz w:val="24"/>
                <w:szCs w:val="24"/>
                <w:highlight w:val="none"/>
                <w:lang w:eastAsia="zh-CN"/>
              </w:rPr>
            </w:pPr>
            <w:r>
              <w:rPr>
                <w:rFonts w:hint="eastAsia" w:ascii="Times New Roman" w:hAnsi="Times New Roman" w:eastAsia="仿宋_GB2312" w:cs="黑体"/>
                <w:snapToGrid w:val="0"/>
                <w:color w:val="000000"/>
                <w:kern w:val="0"/>
                <w:sz w:val="24"/>
                <w:szCs w:val="24"/>
                <w:highlight w:val="none"/>
                <w:lang w:eastAsia="zh-CN"/>
              </w:rPr>
              <w:t>城区</w:t>
            </w:r>
          </w:p>
        </w:tc>
      </w:tr>
      <w:tr w14:paraId="5EE583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499" w:type="pct"/>
            <w:vMerge w:val="continue"/>
            <w:tcBorders>
              <w:top w:val="single" w:color="auto" w:sz="4" w:space="0"/>
              <w:left w:val="single" w:color="auto" w:sz="4" w:space="0"/>
              <w:bottom w:val="single" w:color="auto" w:sz="4" w:space="0"/>
              <w:right w:val="single" w:color="auto" w:sz="4" w:space="0"/>
            </w:tcBorders>
            <w:vAlign w:val="center"/>
          </w:tcPr>
          <w:p w14:paraId="6CF0EC92">
            <w:pPr>
              <w:widowControl/>
              <w:kinsoku/>
              <w:autoSpaceDE/>
              <w:autoSpaceDN/>
              <w:adjustRightInd w:val="0"/>
              <w:snapToGrid w:val="0"/>
              <w:spacing w:before="10" w:after="10" w:line="300" w:lineRule="atLeast"/>
              <w:ind w:firstLine="0" w:firstLineChars="0"/>
              <w:jc w:val="left"/>
              <w:textAlignment w:val="auto"/>
              <w:rPr>
                <w:rFonts w:ascii="Times New Roman" w:hAnsi="Times New Roman" w:eastAsia="仿宋_GB2312" w:cs="黑体"/>
                <w:snapToGrid w:val="0"/>
                <w:color w:val="000000"/>
                <w:kern w:val="0"/>
                <w:sz w:val="24"/>
                <w:szCs w:val="24"/>
                <w:highlight w:val="none"/>
                <w:lang w:eastAsia="zh-CN"/>
              </w:rPr>
            </w:pPr>
          </w:p>
        </w:tc>
        <w:tc>
          <w:tcPr>
            <w:tcW w:w="294" w:type="pct"/>
            <w:tcBorders>
              <w:top w:val="single" w:color="auto" w:sz="4" w:space="0"/>
              <w:left w:val="single" w:color="auto" w:sz="4" w:space="0"/>
              <w:bottom w:val="single" w:color="auto" w:sz="4" w:space="0"/>
              <w:right w:val="single" w:color="auto" w:sz="4" w:space="0"/>
            </w:tcBorders>
            <w:vAlign w:val="center"/>
          </w:tcPr>
          <w:p w14:paraId="28306E44">
            <w:pPr>
              <w:keepNext w:val="0"/>
              <w:keepLines w:val="0"/>
              <w:pageBreakBefore w:val="0"/>
              <w:widowControl w:val="0"/>
              <w:numPr>
                <w:ilvl w:val="0"/>
                <w:numId w:val="4"/>
              </w:numPr>
              <w:tabs>
                <w:tab w:val="left" w:pos="312"/>
              </w:tabs>
              <w:kinsoku/>
              <w:wordWrap/>
              <w:overflowPunct/>
              <w:topLinePunct w:val="0"/>
              <w:autoSpaceDE/>
              <w:autoSpaceDN/>
              <w:bidi w:val="0"/>
              <w:adjustRightInd w:val="0"/>
              <w:snapToGrid w:val="0"/>
              <w:spacing w:before="43" w:beforeLines="10" w:after="43" w:afterLines="10" w:line="300" w:lineRule="atLeast"/>
              <w:ind w:firstLine="0" w:firstLineChars="0"/>
              <w:jc w:val="center"/>
              <w:textAlignment w:val="auto"/>
              <w:rPr>
                <w:rFonts w:ascii="Times New Roman" w:hAnsi="Times New Roman" w:eastAsia="仿宋_GB2312" w:cs="黑体"/>
                <w:snapToGrid w:val="0"/>
                <w:color w:val="000000"/>
                <w:kern w:val="2"/>
                <w:sz w:val="24"/>
                <w:szCs w:val="24"/>
                <w:highlight w:val="none"/>
                <w:lang w:eastAsia="zh-CN"/>
              </w:rPr>
            </w:pPr>
          </w:p>
        </w:tc>
        <w:tc>
          <w:tcPr>
            <w:tcW w:w="896" w:type="pct"/>
            <w:tcBorders>
              <w:top w:val="single" w:color="auto" w:sz="4" w:space="0"/>
              <w:left w:val="single" w:color="auto" w:sz="4" w:space="0"/>
              <w:bottom w:val="single" w:color="auto" w:sz="4" w:space="0"/>
              <w:right w:val="single" w:color="auto" w:sz="4" w:space="0"/>
            </w:tcBorders>
            <w:vAlign w:val="center"/>
          </w:tcPr>
          <w:p w14:paraId="7A3E73D7">
            <w:pPr>
              <w:widowControl w:val="0"/>
              <w:kinsoku/>
              <w:autoSpaceDE/>
              <w:autoSpaceDN/>
              <w:adjustRightInd w:val="0"/>
              <w:snapToGrid w:val="0"/>
              <w:spacing w:before="43" w:beforeLines="10" w:after="43" w:afterLines="10" w:line="300" w:lineRule="atLeast"/>
              <w:ind w:firstLine="0" w:firstLineChars="0"/>
              <w:jc w:val="center"/>
              <w:textAlignment w:val="auto"/>
              <w:rPr>
                <w:rFonts w:ascii="Times New Roman" w:hAnsi="Times New Roman" w:eastAsia="仿宋_GB2312" w:cs="黑体"/>
                <w:snapToGrid w:val="0"/>
                <w:color w:val="000000"/>
                <w:kern w:val="0"/>
                <w:sz w:val="24"/>
                <w:szCs w:val="24"/>
                <w:highlight w:val="none"/>
                <w:lang w:eastAsia="zh-CN"/>
              </w:rPr>
            </w:pPr>
            <w:r>
              <w:rPr>
                <w:rFonts w:hint="eastAsia" w:ascii="Times New Roman" w:hAnsi="Times New Roman" w:eastAsia="仿宋_GB2312" w:cs="黑体"/>
                <w:snapToGrid w:val="0"/>
                <w:color w:val="000000"/>
                <w:kern w:val="0"/>
                <w:sz w:val="24"/>
                <w:szCs w:val="24"/>
                <w:highlight w:val="none"/>
                <w:lang w:eastAsia="zh-CN"/>
              </w:rPr>
              <w:t>城市绿色旅游发展情况</w:t>
            </w:r>
          </w:p>
        </w:tc>
        <w:tc>
          <w:tcPr>
            <w:tcW w:w="2678" w:type="pct"/>
            <w:tcBorders>
              <w:top w:val="single" w:color="auto" w:sz="4" w:space="0"/>
              <w:left w:val="single" w:color="auto" w:sz="4" w:space="0"/>
              <w:bottom w:val="single" w:color="auto" w:sz="4" w:space="0"/>
              <w:right w:val="single" w:color="auto" w:sz="4" w:space="0"/>
            </w:tcBorders>
            <w:vAlign w:val="center"/>
          </w:tcPr>
          <w:p w14:paraId="38A038C7">
            <w:pPr>
              <w:widowControl w:val="0"/>
              <w:kinsoku/>
              <w:autoSpaceDE/>
              <w:autoSpaceDN/>
              <w:adjustRightInd w:val="0"/>
              <w:snapToGrid w:val="0"/>
              <w:spacing w:before="43" w:beforeLines="10" w:after="43" w:afterLines="10" w:line="300" w:lineRule="atLeast"/>
              <w:ind w:firstLine="0" w:firstLineChars="0"/>
              <w:textAlignment w:val="auto"/>
              <w:rPr>
                <w:rFonts w:ascii="Times New Roman" w:hAnsi="Times New Roman" w:eastAsia="仿宋_GB2312" w:cs="黑体"/>
                <w:snapToGrid w:val="0"/>
                <w:color w:val="000000"/>
                <w:kern w:val="0"/>
                <w:sz w:val="24"/>
                <w:szCs w:val="24"/>
                <w:highlight w:val="none"/>
                <w:lang w:eastAsia="zh-CN"/>
              </w:rPr>
            </w:pPr>
            <w:r>
              <w:rPr>
                <w:rFonts w:hint="eastAsia" w:ascii="Times New Roman" w:hAnsi="Times New Roman" w:eastAsia="仿宋_GB2312" w:cs="黑体"/>
                <w:snapToGrid w:val="0"/>
                <w:color w:val="000000"/>
                <w:kern w:val="0"/>
                <w:sz w:val="24"/>
                <w:szCs w:val="24"/>
                <w:highlight w:val="none"/>
                <w:lang w:eastAsia="zh-CN"/>
              </w:rPr>
              <w:t>包括打造形成美丽城市相关文化旅游品牌，相关探索实践入选文化和旅游部绿色旅游发展案例等。</w:t>
            </w:r>
          </w:p>
        </w:tc>
        <w:tc>
          <w:tcPr>
            <w:tcW w:w="630" w:type="pct"/>
            <w:tcBorders>
              <w:top w:val="single" w:color="auto" w:sz="4" w:space="0"/>
              <w:left w:val="single" w:color="auto" w:sz="4" w:space="0"/>
              <w:bottom w:val="single" w:color="auto" w:sz="4" w:space="0"/>
              <w:right w:val="single" w:color="auto" w:sz="4" w:space="0"/>
            </w:tcBorders>
            <w:vAlign w:val="center"/>
          </w:tcPr>
          <w:p w14:paraId="08348363">
            <w:pPr>
              <w:widowControl w:val="0"/>
              <w:kinsoku/>
              <w:autoSpaceDE/>
              <w:autoSpaceDN/>
              <w:adjustRightInd w:val="0"/>
              <w:snapToGrid w:val="0"/>
              <w:spacing w:before="43" w:beforeLines="10" w:after="43" w:afterLines="10" w:line="300" w:lineRule="atLeast"/>
              <w:ind w:firstLine="0" w:firstLineChars="0"/>
              <w:jc w:val="center"/>
              <w:textAlignment w:val="auto"/>
              <w:rPr>
                <w:rFonts w:hint="eastAsia" w:ascii="Times New Roman" w:hAnsi="Times New Roman" w:eastAsia="仿宋_GB2312" w:cs="黑体"/>
                <w:snapToGrid w:val="0"/>
                <w:color w:val="000000"/>
                <w:kern w:val="0"/>
                <w:sz w:val="24"/>
                <w:szCs w:val="24"/>
                <w:highlight w:val="none"/>
                <w:lang w:eastAsia="zh-CN"/>
              </w:rPr>
            </w:pPr>
            <w:r>
              <w:rPr>
                <w:rFonts w:hint="eastAsia" w:ascii="Times New Roman" w:hAnsi="Times New Roman" w:eastAsia="仿宋_GB2312" w:cs="黑体"/>
                <w:snapToGrid w:val="0"/>
                <w:color w:val="000000"/>
                <w:kern w:val="0"/>
                <w:sz w:val="24"/>
                <w:szCs w:val="24"/>
                <w:highlight w:val="none"/>
                <w:lang w:eastAsia="en-US"/>
              </w:rPr>
              <w:t>市域</w:t>
            </w:r>
          </w:p>
        </w:tc>
      </w:tr>
      <w:tr w14:paraId="3C807E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499" w:type="pct"/>
            <w:vMerge w:val="restart"/>
            <w:tcBorders>
              <w:top w:val="single" w:color="auto" w:sz="4" w:space="0"/>
              <w:left w:val="single" w:color="auto" w:sz="4" w:space="0"/>
              <w:right w:val="single" w:color="auto" w:sz="4" w:space="0"/>
            </w:tcBorders>
            <w:vAlign w:val="center"/>
          </w:tcPr>
          <w:p w14:paraId="1567092E">
            <w:pPr>
              <w:widowControl w:val="0"/>
              <w:kinsoku/>
              <w:autoSpaceDE/>
              <w:autoSpaceDN/>
              <w:adjustRightInd w:val="0"/>
              <w:snapToGrid w:val="0"/>
              <w:spacing w:before="21" w:beforeLines="5" w:after="21" w:afterLines="5" w:line="300" w:lineRule="atLeast"/>
              <w:ind w:firstLine="0" w:firstLineChars="0"/>
              <w:jc w:val="center"/>
              <w:textAlignment w:val="auto"/>
              <w:rPr>
                <w:rFonts w:ascii="Times New Roman" w:hAnsi="Times New Roman" w:eastAsia="仿宋_GB2312" w:cs="黑体"/>
                <w:snapToGrid w:val="0"/>
                <w:color w:val="000000"/>
                <w:kern w:val="0"/>
                <w:sz w:val="24"/>
                <w:szCs w:val="24"/>
                <w:highlight w:val="none"/>
                <w:lang w:eastAsia="en-US"/>
              </w:rPr>
            </w:pPr>
            <w:r>
              <w:rPr>
                <w:rFonts w:hint="eastAsia" w:ascii="Times New Roman" w:hAnsi="Times New Roman" w:eastAsia="仿宋_GB2312" w:cs="黑体"/>
                <w:snapToGrid w:val="0"/>
                <w:color w:val="000000"/>
                <w:kern w:val="0"/>
                <w:sz w:val="24"/>
                <w:szCs w:val="24"/>
                <w:highlight w:val="none"/>
                <w:lang w:eastAsia="zh-CN"/>
              </w:rPr>
              <w:t>安全健康</w:t>
            </w:r>
          </w:p>
        </w:tc>
        <w:tc>
          <w:tcPr>
            <w:tcW w:w="294" w:type="pct"/>
            <w:tcBorders>
              <w:top w:val="single" w:color="auto" w:sz="4" w:space="0"/>
              <w:left w:val="single" w:color="auto" w:sz="4" w:space="0"/>
              <w:bottom w:val="single" w:color="auto" w:sz="4" w:space="0"/>
              <w:right w:val="single" w:color="auto" w:sz="4" w:space="0"/>
            </w:tcBorders>
            <w:vAlign w:val="center"/>
          </w:tcPr>
          <w:p w14:paraId="56816CD3">
            <w:pPr>
              <w:keepNext w:val="0"/>
              <w:keepLines w:val="0"/>
              <w:pageBreakBefore w:val="0"/>
              <w:widowControl w:val="0"/>
              <w:numPr>
                <w:ilvl w:val="0"/>
                <w:numId w:val="4"/>
              </w:numPr>
              <w:tabs>
                <w:tab w:val="left" w:pos="312"/>
              </w:tabs>
              <w:kinsoku/>
              <w:wordWrap/>
              <w:overflowPunct/>
              <w:topLinePunct w:val="0"/>
              <w:autoSpaceDE/>
              <w:autoSpaceDN/>
              <w:bidi w:val="0"/>
              <w:adjustRightInd w:val="0"/>
              <w:snapToGrid w:val="0"/>
              <w:spacing w:before="21" w:beforeLines="5" w:after="21" w:afterLines="5" w:line="300" w:lineRule="atLeast"/>
              <w:ind w:firstLine="0" w:firstLineChars="0"/>
              <w:jc w:val="center"/>
              <w:textAlignment w:val="auto"/>
              <w:rPr>
                <w:rFonts w:ascii="Times New Roman" w:hAnsi="Times New Roman" w:eastAsia="仿宋_GB2312" w:cs="黑体"/>
                <w:snapToGrid w:val="0"/>
                <w:color w:val="000000"/>
                <w:kern w:val="2"/>
                <w:sz w:val="24"/>
                <w:szCs w:val="24"/>
                <w:highlight w:val="none"/>
                <w:lang w:eastAsia="zh-CN"/>
              </w:rPr>
            </w:pPr>
          </w:p>
        </w:tc>
        <w:tc>
          <w:tcPr>
            <w:tcW w:w="896" w:type="pct"/>
            <w:tcBorders>
              <w:top w:val="single" w:color="auto" w:sz="4" w:space="0"/>
              <w:left w:val="single" w:color="auto" w:sz="4" w:space="0"/>
              <w:bottom w:val="single" w:color="auto" w:sz="4" w:space="0"/>
              <w:right w:val="single" w:color="auto" w:sz="4" w:space="0"/>
            </w:tcBorders>
            <w:vAlign w:val="center"/>
          </w:tcPr>
          <w:p w14:paraId="6186D600">
            <w:pPr>
              <w:widowControl w:val="0"/>
              <w:kinsoku/>
              <w:autoSpaceDE/>
              <w:autoSpaceDN/>
              <w:adjustRightInd w:val="0"/>
              <w:snapToGrid w:val="0"/>
              <w:spacing w:before="21" w:beforeLines="5" w:after="21" w:afterLines="5" w:line="300" w:lineRule="atLeast"/>
              <w:ind w:firstLine="0" w:firstLineChars="0"/>
              <w:jc w:val="center"/>
              <w:textAlignment w:val="auto"/>
              <w:rPr>
                <w:rFonts w:ascii="Times New Roman" w:hAnsi="Times New Roman" w:eastAsia="仿宋_GB2312" w:cs="黑体"/>
                <w:snapToGrid w:val="0"/>
                <w:color w:val="000000"/>
                <w:kern w:val="0"/>
                <w:sz w:val="24"/>
                <w:szCs w:val="24"/>
                <w:highlight w:val="none"/>
                <w:lang w:eastAsia="zh-CN"/>
              </w:rPr>
            </w:pPr>
            <w:r>
              <w:rPr>
                <w:rFonts w:hint="eastAsia" w:ascii="Times New Roman" w:hAnsi="Times New Roman" w:eastAsia="仿宋_GB2312" w:cs="黑体"/>
                <w:snapToGrid w:val="0"/>
                <w:color w:val="000000"/>
                <w:kern w:val="0"/>
                <w:sz w:val="24"/>
                <w:szCs w:val="24"/>
                <w:highlight w:val="none"/>
                <w:lang w:eastAsia="zh-CN"/>
              </w:rPr>
              <w:t>县级及以上集中式饮用水水源水质达到或优于Ⅲ类比例（%）</w:t>
            </w:r>
          </w:p>
        </w:tc>
        <w:tc>
          <w:tcPr>
            <w:tcW w:w="2678" w:type="pct"/>
            <w:tcBorders>
              <w:top w:val="single" w:color="auto" w:sz="4" w:space="0"/>
              <w:left w:val="single" w:color="auto" w:sz="4" w:space="0"/>
              <w:bottom w:val="single" w:color="auto" w:sz="4" w:space="0"/>
              <w:right w:val="single" w:color="auto" w:sz="4" w:space="0"/>
            </w:tcBorders>
            <w:vAlign w:val="center"/>
          </w:tcPr>
          <w:p w14:paraId="1D215582">
            <w:pPr>
              <w:widowControl w:val="0"/>
              <w:kinsoku/>
              <w:autoSpaceDE/>
              <w:autoSpaceDN/>
              <w:adjustRightInd w:val="0"/>
              <w:snapToGrid w:val="0"/>
              <w:spacing w:before="21" w:beforeLines="5" w:after="21" w:afterLines="5" w:line="300" w:lineRule="atLeast"/>
              <w:ind w:firstLine="0" w:firstLineChars="0"/>
              <w:textAlignment w:val="auto"/>
              <w:rPr>
                <w:rFonts w:ascii="Times New Roman" w:hAnsi="Times New Roman" w:eastAsia="仿宋_GB2312" w:cs="黑体"/>
                <w:snapToGrid w:val="0"/>
                <w:color w:val="000000"/>
                <w:kern w:val="0"/>
                <w:sz w:val="24"/>
                <w:szCs w:val="24"/>
                <w:highlight w:val="none"/>
                <w:lang w:eastAsia="zh-CN"/>
              </w:rPr>
            </w:pPr>
            <w:r>
              <w:rPr>
                <w:rFonts w:hint="eastAsia" w:ascii="Times New Roman" w:hAnsi="Times New Roman" w:eastAsia="仿宋_GB2312" w:cs="黑体"/>
                <w:snapToGrid w:val="0"/>
                <w:color w:val="000000"/>
                <w:kern w:val="0"/>
                <w:sz w:val="24"/>
                <w:szCs w:val="24"/>
                <w:highlight w:val="none"/>
                <w:lang w:eastAsia="zh-CN"/>
              </w:rPr>
              <w:t>行政区域内县级及以上集中式饮用水水源地中饮用水水源水质达到Ⅲ类水源数量占水源总数的比例。</w:t>
            </w:r>
          </w:p>
        </w:tc>
        <w:tc>
          <w:tcPr>
            <w:tcW w:w="630" w:type="pct"/>
            <w:tcBorders>
              <w:top w:val="single" w:color="auto" w:sz="4" w:space="0"/>
              <w:left w:val="single" w:color="auto" w:sz="4" w:space="0"/>
              <w:bottom w:val="single" w:color="auto" w:sz="4" w:space="0"/>
              <w:right w:val="single" w:color="auto" w:sz="4" w:space="0"/>
            </w:tcBorders>
            <w:vAlign w:val="center"/>
          </w:tcPr>
          <w:p w14:paraId="1CC8BEB5">
            <w:pPr>
              <w:widowControl w:val="0"/>
              <w:kinsoku/>
              <w:autoSpaceDE/>
              <w:autoSpaceDN/>
              <w:adjustRightInd w:val="0"/>
              <w:snapToGrid w:val="0"/>
              <w:spacing w:before="21" w:beforeLines="5" w:after="21" w:afterLines="5" w:line="300" w:lineRule="atLeast"/>
              <w:ind w:firstLine="0" w:firstLineChars="0"/>
              <w:jc w:val="center"/>
              <w:textAlignment w:val="auto"/>
              <w:rPr>
                <w:rFonts w:ascii="Times New Roman" w:hAnsi="Times New Roman" w:eastAsia="仿宋_GB2312" w:cs="黑体"/>
                <w:snapToGrid w:val="0"/>
                <w:color w:val="000000"/>
                <w:spacing w:val="-1"/>
                <w:kern w:val="0"/>
                <w:sz w:val="24"/>
                <w:szCs w:val="24"/>
                <w:highlight w:val="none"/>
                <w:lang w:eastAsia="zh-CN"/>
              </w:rPr>
            </w:pPr>
            <w:r>
              <w:rPr>
                <w:rFonts w:hint="eastAsia" w:ascii="Times New Roman" w:hAnsi="Times New Roman" w:eastAsia="仿宋_GB2312" w:cs="黑体"/>
                <w:snapToGrid w:val="0"/>
                <w:color w:val="000000"/>
                <w:spacing w:val="-1"/>
                <w:kern w:val="0"/>
                <w:sz w:val="24"/>
                <w:szCs w:val="24"/>
                <w:highlight w:val="none"/>
                <w:lang w:eastAsia="zh-CN"/>
              </w:rPr>
              <w:t>市域</w:t>
            </w:r>
          </w:p>
        </w:tc>
      </w:tr>
      <w:tr w14:paraId="1AF65F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499" w:type="pct"/>
            <w:vMerge w:val="continue"/>
            <w:tcBorders>
              <w:left w:val="single" w:color="auto" w:sz="4" w:space="0"/>
              <w:right w:val="single" w:color="auto" w:sz="4" w:space="0"/>
            </w:tcBorders>
            <w:vAlign w:val="center"/>
          </w:tcPr>
          <w:p w14:paraId="41D05E8C">
            <w:pPr>
              <w:widowControl/>
              <w:kinsoku/>
              <w:autoSpaceDE/>
              <w:autoSpaceDN/>
              <w:adjustRightInd w:val="0"/>
              <w:snapToGrid w:val="0"/>
              <w:spacing w:before="21" w:beforeLines="5" w:after="21" w:afterLines="5" w:line="300" w:lineRule="atLeast"/>
              <w:ind w:firstLine="0" w:firstLineChars="0"/>
              <w:jc w:val="left"/>
              <w:textAlignment w:val="auto"/>
              <w:rPr>
                <w:rFonts w:ascii="Times New Roman" w:hAnsi="Times New Roman" w:eastAsia="仿宋_GB2312" w:cs="黑体"/>
                <w:snapToGrid w:val="0"/>
                <w:color w:val="000000"/>
                <w:kern w:val="0"/>
                <w:sz w:val="24"/>
                <w:szCs w:val="24"/>
                <w:highlight w:val="none"/>
                <w:lang w:eastAsia="en-US"/>
              </w:rPr>
            </w:pPr>
          </w:p>
        </w:tc>
        <w:tc>
          <w:tcPr>
            <w:tcW w:w="294" w:type="pct"/>
            <w:tcBorders>
              <w:top w:val="single" w:color="auto" w:sz="4" w:space="0"/>
              <w:left w:val="single" w:color="auto" w:sz="4" w:space="0"/>
              <w:bottom w:val="single" w:color="auto" w:sz="4" w:space="0"/>
              <w:right w:val="single" w:color="auto" w:sz="4" w:space="0"/>
            </w:tcBorders>
            <w:vAlign w:val="center"/>
          </w:tcPr>
          <w:p w14:paraId="6E9C0B8F">
            <w:pPr>
              <w:keepNext w:val="0"/>
              <w:keepLines w:val="0"/>
              <w:pageBreakBefore w:val="0"/>
              <w:widowControl w:val="0"/>
              <w:numPr>
                <w:ilvl w:val="0"/>
                <w:numId w:val="4"/>
              </w:numPr>
              <w:tabs>
                <w:tab w:val="left" w:pos="312"/>
              </w:tabs>
              <w:kinsoku/>
              <w:wordWrap/>
              <w:overflowPunct/>
              <w:topLinePunct w:val="0"/>
              <w:autoSpaceDE/>
              <w:autoSpaceDN/>
              <w:bidi w:val="0"/>
              <w:adjustRightInd w:val="0"/>
              <w:snapToGrid w:val="0"/>
              <w:spacing w:before="21" w:beforeLines="5" w:after="21" w:afterLines="5" w:line="300" w:lineRule="atLeast"/>
              <w:ind w:firstLine="0" w:firstLineChars="0"/>
              <w:jc w:val="center"/>
              <w:textAlignment w:val="auto"/>
              <w:rPr>
                <w:rFonts w:ascii="Times New Roman" w:hAnsi="Times New Roman" w:eastAsia="仿宋_GB2312" w:cs="黑体"/>
                <w:snapToGrid w:val="0"/>
                <w:color w:val="000000"/>
                <w:kern w:val="2"/>
                <w:sz w:val="24"/>
                <w:szCs w:val="24"/>
                <w:highlight w:val="none"/>
                <w:lang w:eastAsia="zh-CN"/>
              </w:rPr>
            </w:pPr>
          </w:p>
        </w:tc>
        <w:tc>
          <w:tcPr>
            <w:tcW w:w="896" w:type="pct"/>
            <w:tcBorders>
              <w:top w:val="single" w:color="auto" w:sz="4" w:space="0"/>
              <w:left w:val="single" w:color="auto" w:sz="4" w:space="0"/>
              <w:bottom w:val="single" w:color="auto" w:sz="4" w:space="0"/>
              <w:right w:val="single" w:color="auto" w:sz="4" w:space="0"/>
            </w:tcBorders>
            <w:vAlign w:val="center"/>
          </w:tcPr>
          <w:p w14:paraId="2E503235">
            <w:pPr>
              <w:widowControl w:val="0"/>
              <w:kinsoku/>
              <w:autoSpaceDE/>
              <w:autoSpaceDN/>
              <w:adjustRightInd w:val="0"/>
              <w:snapToGrid w:val="0"/>
              <w:spacing w:before="21" w:beforeLines="5" w:after="21" w:afterLines="5" w:line="300" w:lineRule="atLeast"/>
              <w:ind w:firstLine="0" w:firstLineChars="0"/>
              <w:jc w:val="center"/>
              <w:textAlignment w:val="auto"/>
              <w:rPr>
                <w:rFonts w:ascii="Times New Roman" w:hAnsi="Times New Roman" w:eastAsia="仿宋_GB2312" w:cs="黑体"/>
                <w:snapToGrid w:val="0"/>
                <w:color w:val="000000"/>
                <w:kern w:val="0"/>
                <w:sz w:val="24"/>
                <w:szCs w:val="24"/>
                <w:highlight w:val="none"/>
                <w:lang w:eastAsia="zh-CN"/>
              </w:rPr>
            </w:pPr>
            <w:r>
              <w:rPr>
                <w:rFonts w:hint="eastAsia" w:ascii="Times New Roman" w:hAnsi="Times New Roman" w:eastAsia="仿宋_GB2312" w:cs="黑体"/>
                <w:snapToGrid w:val="0"/>
                <w:color w:val="000000"/>
                <w:kern w:val="0"/>
                <w:sz w:val="24"/>
                <w:szCs w:val="24"/>
                <w:highlight w:val="none"/>
                <w:lang w:eastAsia="zh-CN"/>
              </w:rPr>
              <w:t>城区透水面积占比（%）</w:t>
            </w:r>
          </w:p>
        </w:tc>
        <w:tc>
          <w:tcPr>
            <w:tcW w:w="2678" w:type="pct"/>
            <w:tcBorders>
              <w:top w:val="single" w:color="auto" w:sz="4" w:space="0"/>
              <w:left w:val="single" w:color="auto" w:sz="4" w:space="0"/>
              <w:bottom w:val="single" w:color="auto" w:sz="4" w:space="0"/>
              <w:right w:val="single" w:color="auto" w:sz="4" w:space="0"/>
            </w:tcBorders>
            <w:vAlign w:val="center"/>
          </w:tcPr>
          <w:p w14:paraId="1B3B51F9">
            <w:pPr>
              <w:widowControl w:val="0"/>
              <w:kinsoku/>
              <w:autoSpaceDE/>
              <w:autoSpaceDN/>
              <w:adjustRightInd w:val="0"/>
              <w:snapToGrid w:val="0"/>
              <w:spacing w:before="21" w:beforeLines="5" w:after="21" w:afterLines="5" w:line="300" w:lineRule="atLeast"/>
              <w:ind w:firstLine="0" w:firstLineChars="0"/>
              <w:textAlignment w:val="auto"/>
              <w:rPr>
                <w:rFonts w:ascii="Times New Roman" w:hAnsi="Times New Roman" w:eastAsia="仿宋_GB2312" w:cs="黑体"/>
                <w:snapToGrid w:val="0"/>
                <w:color w:val="000000"/>
                <w:kern w:val="0"/>
                <w:sz w:val="24"/>
                <w:szCs w:val="24"/>
                <w:highlight w:val="none"/>
                <w:lang w:eastAsia="zh-CN"/>
              </w:rPr>
            </w:pPr>
            <w:r>
              <w:rPr>
                <w:rFonts w:hint="eastAsia" w:ascii="Times New Roman" w:hAnsi="Times New Roman" w:eastAsia="仿宋_GB2312" w:cs="黑体"/>
                <w:snapToGrid w:val="0"/>
                <w:color w:val="000000"/>
                <w:kern w:val="0"/>
                <w:sz w:val="24"/>
                <w:szCs w:val="24"/>
                <w:highlight w:val="none"/>
                <w:lang w:eastAsia="zh-CN"/>
              </w:rPr>
              <w:t>城区内透水表面面积占总城区面积的比例。</w:t>
            </w:r>
          </w:p>
        </w:tc>
        <w:tc>
          <w:tcPr>
            <w:tcW w:w="630" w:type="pct"/>
            <w:tcBorders>
              <w:top w:val="single" w:color="auto" w:sz="4" w:space="0"/>
              <w:left w:val="single" w:color="auto" w:sz="4" w:space="0"/>
              <w:bottom w:val="single" w:color="auto" w:sz="4" w:space="0"/>
              <w:right w:val="single" w:color="auto" w:sz="4" w:space="0"/>
            </w:tcBorders>
            <w:vAlign w:val="center"/>
          </w:tcPr>
          <w:p w14:paraId="39C6A40F">
            <w:pPr>
              <w:widowControl w:val="0"/>
              <w:kinsoku/>
              <w:autoSpaceDE/>
              <w:autoSpaceDN/>
              <w:adjustRightInd w:val="0"/>
              <w:snapToGrid w:val="0"/>
              <w:spacing w:before="21" w:beforeLines="5" w:after="21" w:afterLines="5" w:line="300" w:lineRule="atLeast"/>
              <w:ind w:firstLine="0" w:firstLineChars="0"/>
              <w:jc w:val="center"/>
              <w:textAlignment w:val="auto"/>
              <w:rPr>
                <w:rFonts w:hint="eastAsia" w:ascii="Times New Roman" w:hAnsi="Times New Roman" w:eastAsia="仿宋_GB2312" w:cs="黑体"/>
                <w:snapToGrid w:val="0"/>
                <w:color w:val="000000"/>
                <w:spacing w:val="-1"/>
                <w:kern w:val="0"/>
                <w:sz w:val="24"/>
                <w:szCs w:val="24"/>
                <w:highlight w:val="none"/>
                <w:lang w:eastAsia="zh-CN"/>
              </w:rPr>
            </w:pPr>
            <w:r>
              <w:rPr>
                <w:rFonts w:hint="eastAsia" w:ascii="Times New Roman" w:hAnsi="Times New Roman" w:eastAsia="仿宋_GB2312" w:cs="黑体"/>
                <w:snapToGrid w:val="0"/>
                <w:color w:val="000000"/>
                <w:kern w:val="0"/>
                <w:sz w:val="24"/>
                <w:szCs w:val="24"/>
                <w:highlight w:val="none"/>
                <w:lang w:eastAsia="zh-CN"/>
              </w:rPr>
              <w:t>城区</w:t>
            </w:r>
          </w:p>
        </w:tc>
      </w:tr>
      <w:tr w14:paraId="1D15E3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499" w:type="pct"/>
            <w:vMerge w:val="continue"/>
            <w:tcBorders>
              <w:left w:val="single" w:color="auto" w:sz="4" w:space="0"/>
              <w:right w:val="single" w:color="auto" w:sz="4" w:space="0"/>
            </w:tcBorders>
            <w:vAlign w:val="center"/>
          </w:tcPr>
          <w:p w14:paraId="4F015692">
            <w:pPr>
              <w:widowControl/>
              <w:kinsoku/>
              <w:autoSpaceDE/>
              <w:autoSpaceDN/>
              <w:adjustRightInd w:val="0"/>
              <w:snapToGrid w:val="0"/>
              <w:spacing w:before="21" w:beforeLines="5" w:after="21" w:afterLines="5" w:line="300" w:lineRule="atLeast"/>
              <w:ind w:firstLine="0" w:firstLineChars="0"/>
              <w:jc w:val="left"/>
              <w:textAlignment w:val="auto"/>
              <w:rPr>
                <w:rFonts w:ascii="Times New Roman" w:hAnsi="Times New Roman" w:eastAsia="仿宋_GB2312" w:cs="黑体"/>
                <w:snapToGrid w:val="0"/>
                <w:color w:val="000000"/>
                <w:kern w:val="0"/>
                <w:sz w:val="24"/>
                <w:szCs w:val="24"/>
                <w:highlight w:val="none"/>
                <w:lang w:eastAsia="en-US"/>
              </w:rPr>
            </w:pPr>
          </w:p>
        </w:tc>
        <w:tc>
          <w:tcPr>
            <w:tcW w:w="294" w:type="pct"/>
            <w:tcBorders>
              <w:top w:val="single" w:color="auto" w:sz="4" w:space="0"/>
              <w:left w:val="single" w:color="auto" w:sz="4" w:space="0"/>
              <w:bottom w:val="single" w:color="auto" w:sz="4" w:space="0"/>
              <w:right w:val="single" w:color="auto" w:sz="4" w:space="0"/>
            </w:tcBorders>
            <w:vAlign w:val="center"/>
          </w:tcPr>
          <w:p w14:paraId="6C81D071">
            <w:pPr>
              <w:keepNext w:val="0"/>
              <w:keepLines w:val="0"/>
              <w:pageBreakBefore w:val="0"/>
              <w:widowControl w:val="0"/>
              <w:numPr>
                <w:ilvl w:val="0"/>
                <w:numId w:val="4"/>
              </w:numPr>
              <w:tabs>
                <w:tab w:val="left" w:pos="312"/>
              </w:tabs>
              <w:kinsoku/>
              <w:wordWrap/>
              <w:overflowPunct/>
              <w:topLinePunct w:val="0"/>
              <w:autoSpaceDE/>
              <w:autoSpaceDN/>
              <w:bidi w:val="0"/>
              <w:adjustRightInd w:val="0"/>
              <w:snapToGrid w:val="0"/>
              <w:spacing w:before="21" w:beforeLines="5" w:after="21" w:afterLines="5" w:line="300" w:lineRule="atLeast"/>
              <w:ind w:firstLine="0" w:firstLineChars="0"/>
              <w:jc w:val="center"/>
              <w:textAlignment w:val="auto"/>
              <w:rPr>
                <w:rFonts w:ascii="Times New Roman" w:hAnsi="Times New Roman" w:eastAsia="仿宋_GB2312" w:cs="黑体"/>
                <w:snapToGrid w:val="0"/>
                <w:color w:val="000000"/>
                <w:kern w:val="2"/>
                <w:sz w:val="24"/>
                <w:szCs w:val="24"/>
                <w:highlight w:val="none"/>
                <w:lang w:eastAsia="zh-CN"/>
              </w:rPr>
            </w:pPr>
          </w:p>
        </w:tc>
        <w:tc>
          <w:tcPr>
            <w:tcW w:w="896" w:type="pct"/>
            <w:tcBorders>
              <w:top w:val="single" w:color="auto" w:sz="4" w:space="0"/>
              <w:left w:val="single" w:color="auto" w:sz="4" w:space="0"/>
              <w:bottom w:val="single" w:color="auto" w:sz="4" w:space="0"/>
              <w:right w:val="single" w:color="auto" w:sz="4" w:space="0"/>
            </w:tcBorders>
            <w:vAlign w:val="center"/>
          </w:tcPr>
          <w:p w14:paraId="489C38E7">
            <w:pPr>
              <w:widowControl w:val="0"/>
              <w:kinsoku/>
              <w:autoSpaceDE/>
              <w:autoSpaceDN/>
              <w:adjustRightInd w:val="0"/>
              <w:snapToGrid w:val="0"/>
              <w:spacing w:before="21" w:beforeLines="5" w:after="21" w:afterLines="5" w:line="300" w:lineRule="atLeast"/>
              <w:ind w:firstLine="0" w:firstLineChars="0"/>
              <w:jc w:val="center"/>
              <w:textAlignment w:val="auto"/>
              <w:rPr>
                <w:rFonts w:ascii="Times New Roman" w:hAnsi="Times New Roman" w:eastAsia="仿宋_GB2312" w:cs="黑体"/>
                <w:snapToGrid w:val="0"/>
                <w:color w:val="000000"/>
                <w:kern w:val="0"/>
                <w:sz w:val="24"/>
                <w:szCs w:val="24"/>
                <w:highlight w:val="none"/>
                <w:lang w:eastAsia="zh-CN"/>
              </w:rPr>
            </w:pPr>
            <w:r>
              <w:rPr>
                <w:rFonts w:hint="eastAsia" w:ascii="Times New Roman" w:hAnsi="Times New Roman" w:eastAsia="仿宋_GB2312" w:cs="黑体"/>
                <w:snapToGrid w:val="0"/>
                <w:color w:val="000000"/>
                <w:kern w:val="0"/>
                <w:sz w:val="24"/>
                <w:szCs w:val="24"/>
                <w:highlight w:val="none"/>
                <w:lang w:eastAsia="zh-CN"/>
              </w:rPr>
              <w:t>环境健康风险源管控率（%）</w:t>
            </w:r>
          </w:p>
        </w:tc>
        <w:tc>
          <w:tcPr>
            <w:tcW w:w="2678" w:type="pct"/>
            <w:tcBorders>
              <w:top w:val="single" w:color="auto" w:sz="4" w:space="0"/>
              <w:left w:val="single" w:color="auto" w:sz="4" w:space="0"/>
              <w:bottom w:val="single" w:color="auto" w:sz="4" w:space="0"/>
              <w:right w:val="single" w:color="auto" w:sz="4" w:space="0"/>
            </w:tcBorders>
            <w:vAlign w:val="center"/>
          </w:tcPr>
          <w:p w14:paraId="668CA4D7">
            <w:pPr>
              <w:widowControl w:val="0"/>
              <w:kinsoku/>
              <w:autoSpaceDE/>
              <w:autoSpaceDN/>
              <w:adjustRightInd w:val="0"/>
              <w:snapToGrid w:val="0"/>
              <w:spacing w:before="21" w:beforeLines="5" w:after="21" w:afterLines="5" w:line="300" w:lineRule="atLeast"/>
              <w:ind w:firstLine="0" w:firstLineChars="0"/>
              <w:textAlignment w:val="auto"/>
              <w:rPr>
                <w:rFonts w:ascii="Times New Roman" w:hAnsi="Times New Roman" w:eastAsia="仿宋_GB2312" w:cs="黑体"/>
                <w:snapToGrid w:val="0"/>
                <w:color w:val="000000"/>
                <w:kern w:val="0"/>
                <w:sz w:val="24"/>
                <w:szCs w:val="24"/>
                <w:highlight w:val="none"/>
                <w:lang w:eastAsia="zh-CN"/>
              </w:rPr>
            </w:pPr>
            <w:r>
              <w:rPr>
                <w:rFonts w:hint="eastAsia" w:ascii="Times New Roman" w:hAnsi="Times New Roman" w:eastAsia="仿宋_GB2312" w:cs="黑体"/>
                <w:snapToGrid w:val="0"/>
                <w:color w:val="000000"/>
                <w:kern w:val="0"/>
                <w:sz w:val="24"/>
                <w:szCs w:val="24"/>
                <w:highlight w:val="none"/>
                <w:lang w:eastAsia="zh-CN"/>
              </w:rPr>
              <w:t>依据环境健康风险源识别与分级有关技术指南确定本行政区环境健康风险源分级情况，其中较高风险等级及以上的风险源被纳入环境监管重点单位名录的比例。</w:t>
            </w:r>
          </w:p>
        </w:tc>
        <w:tc>
          <w:tcPr>
            <w:tcW w:w="630" w:type="pct"/>
            <w:tcBorders>
              <w:top w:val="single" w:color="auto" w:sz="4" w:space="0"/>
              <w:left w:val="single" w:color="auto" w:sz="4" w:space="0"/>
              <w:bottom w:val="single" w:color="auto" w:sz="4" w:space="0"/>
              <w:right w:val="single" w:color="auto" w:sz="4" w:space="0"/>
            </w:tcBorders>
            <w:vAlign w:val="center"/>
          </w:tcPr>
          <w:p w14:paraId="57596CE6">
            <w:pPr>
              <w:widowControl w:val="0"/>
              <w:kinsoku/>
              <w:autoSpaceDE/>
              <w:autoSpaceDN/>
              <w:adjustRightInd w:val="0"/>
              <w:snapToGrid w:val="0"/>
              <w:spacing w:before="21" w:beforeLines="5" w:after="21" w:afterLines="5" w:line="300" w:lineRule="atLeast"/>
              <w:ind w:firstLine="0" w:firstLineChars="0"/>
              <w:jc w:val="center"/>
              <w:textAlignment w:val="auto"/>
              <w:rPr>
                <w:rFonts w:hint="eastAsia" w:ascii="Times New Roman" w:hAnsi="Times New Roman" w:eastAsia="仿宋_GB2312" w:cs="黑体"/>
                <w:snapToGrid w:val="0"/>
                <w:color w:val="000000"/>
                <w:spacing w:val="-1"/>
                <w:kern w:val="0"/>
                <w:sz w:val="24"/>
                <w:szCs w:val="24"/>
                <w:highlight w:val="none"/>
                <w:lang w:eastAsia="zh-CN"/>
              </w:rPr>
            </w:pPr>
            <w:r>
              <w:rPr>
                <w:rFonts w:hint="eastAsia" w:ascii="Times New Roman" w:hAnsi="Times New Roman" w:eastAsia="仿宋_GB2312" w:cs="黑体"/>
                <w:snapToGrid w:val="0"/>
                <w:color w:val="000000"/>
                <w:kern w:val="0"/>
                <w:sz w:val="24"/>
                <w:szCs w:val="24"/>
                <w:highlight w:val="none"/>
                <w:lang w:eastAsia="en-US"/>
              </w:rPr>
              <w:t>市域</w:t>
            </w:r>
          </w:p>
        </w:tc>
      </w:tr>
      <w:tr w14:paraId="0E1BA9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499" w:type="pct"/>
            <w:vMerge w:val="restart"/>
            <w:tcBorders>
              <w:top w:val="single" w:color="auto" w:sz="4" w:space="0"/>
              <w:left w:val="single" w:color="auto" w:sz="4" w:space="0"/>
              <w:bottom w:val="single" w:color="auto" w:sz="4" w:space="0"/>
              <w:right w:val="single" w:color="auto" w:sz="4" w:space="0"/>
            </w:tcBorders>
            <w:vAlign w:val="center"/>
          </w:tcPr>
          <w:p w14:paraId="00E047F0">
            <w:pPr>
              <w:widowControl w:val="0"/>
              <w:kinsoku/>
              <w:autoSpaceDE/>
              <w:autoSpaceDN/>
              <w:adjustRightInd w:val="0"/>
              <w:snapToGrid w:val="0"/>
              <w:spacing w:before="21" w:beforeLines="5" w:after="21" w:afterLines="5" w:line="300" w:lineRule="atLeast"/>
              <w:ind w:firstLine="0" w:firstLineChars="0"/>
              <w:jc w:val="center"/>
              <w:textAlignment w:val="auto"/>
              <w:rPr>
                <w:rFonts w:ascii="Times New Roman" w:hAnsi="Times New Roman" w:eastAsia="仿宋_GB2312" w:cs="黑体"/>
                <w:snapToGrid w:val="0"/>
                <w:color w:val="000000"/>
                <w:kern w:val="0"/>
                <w:sz w:val="24"/>
                <w:szCs w:val="24"/>
                <w:highlight w:val="none"/>
                <w:lang w:eastAsia="en-US"/>
              </w:rPr>
            </w:pPr>
            <w:r>
              <w:rPr>
                <w:rFonts w:hint="eastAsia" w:ascii="Times New Roman" w:hAnsi="Times New Roman" w:eastAsia="仿宋_GB2312" w:cs="黑体"/>
                <w:snapToGrid w:val="0"/>
                <w:color w:val="000000"/>
                <w:kern w:val="0"/>
                <w:sz w:val="24"/>
                <w:szCs w:val="24"/>
                <w:highlight w:val="none"/>
                <w:lang w:eastAsia="zh-CN"/>
              </w:rPr>
              <w:t>智慧高效</w:t>
            </w:r>
          </w:p>
        </w:tc>
        <w:tc>
          <w:tcPr>
            <w:tcW w:w="294" w:type="pct"/>
            <w:tcBorders>
              <w:top w:val="single" w:color="auto" w:sz="4" w:space="0"/>
              <w:left w:val="single" w:color="auto" w:sz="4" w:space="0"/>
              <w:bottom w:val="single" w:color="auto" w:sz="4" w:space="0"/>
              <w:right w:val="single" w:color="auto" w:sz="4" w:space="0"/>
            </w:tcBorders>
            <w:vAlign w:val="center"/>
          </w:tcPr>
          <w:p w14:paraId="2AB34677">
            <w:pPr>
              <w:keepNext w:val="0"/>
              <w:keepLines w:val="0"/>
              <w:pageBreakBefore w:val="0"/>
              <w:widowControl w:val="0"/>
              <w:numPr>
                <w:ilvl w:val="0"/>
                <w:numId w:val="4"/>
              </w:numPr>
              <w:tabs>
                <w:tab w:val="left" w:pos="312"/>
              </w:tabs>
              <w:kinsoku/>
              <w:wordWrap/>
              <w:overflowPunct/>
              <w:topLinePunct w:val="0"/>
              <w:autoSpaceDE/>
              <w:autoSpaceDN/>
              <w:bidi w:val="0"/>
              <w:adjustRightInd w:val="0"/>
              <w:snapToGrid w:val="0"/>
              <w:spacing w:before="21" w:beforeLines="5" w:after="21" w:afterLines="5" w:line="300" w:lineRule="atLeast"/>
              <w:ind w:firstLine="0" w:firstLineChars="0"/>
              <w:jc w:val="center"/>
              <w:textAlignment w:val="auto"/>
              <w:rPr>
                <w:rFonts w:ascii="Times New Roman" w:hAnsi="Times New Roman" w:eastAsia="仿宋_GB2312" w:cs="黑体"/>
                <w:snapToGrid w:val="0"/>
                <w:color w:val="000000"/>
                <w:kern w:val="2"/>
                <w:sz w:val="24"/>
                <w:szCs w:val="24"/>
                <w:highlight w:val="none"/>
                <w:lang w:eastAsia="zh-CN"/>
              </w:rPr>
            </w:pPr>
          </w:p>
        </w:tc>
        <w:tc>
          <w:tcPr>
            <w:tcW w:w="896" w:type="pct"/>
            <w:tcBorders>
              <w:top w:val="single" w:color="auto" w:sz="4" w:space="0"/>
              <w:left w:val="single" w:color="auto" w:sz="4" w:space="0"/>
              <w:bottom w:val="single" w:color="auto" w:sz="4" w:space="0"/>
              <w:right w:val="single" w:color="auto" w:sz="4" w:space="0"/>
            </w:tcBorders>
            <w:vAlign w:val="center"/>
          </w:tcPr>
          <w:p w14:paraId="61752538">
            <w:pPr>
              <w:widowControl w:val="0"/>
              <w:kinsoku/>
              <w:autoSpaceDE/>
              <w:autoSpaceDN/>
              <w:adjustRightInd w:val="0"/>
              <w:snapToGrid w:val="0"/>
              <w:spacing w:before="21" w:beforeLines="5" w:after="21" w:afterLines="5" w:line="300" w:lineRule="atLeast"/>
              <w:ind w:firstLine="0" w:firstLineChars="0"/>
              <w:jc w:val="center"/>
              <w:textAlignment w:val="auto"/>
              <w:rPr>
                <w:rFonts w:ascii="Times New Roman" w:hAnsi="Times New Roman" w:eastAsia="仿宋_GB2312" w:cs="黑体"/>
                <w:snapToGrid w:val="0"/>
                <w:color w:val="000000"/>
                <w:kern w:val="0"/>
                <w:sz w:val="24"/>
                <w:szCs w:val="24"/>
                <w:highlight w:val="none"/>
                <w:lang w:eastAsia="zh-CN"/>
              </w:rPr>
            </w:pPr>
            <w:r>
              <w:rPr>
                <w:rFonts w:hint="eastAsia" w:ascii="Times New Roman" w:hAnsi="Times New Roman" w:eastAsia="仿宋_GB2312" w:cs="黑体"/>
                <w:snapToGrid w:val="0"/>
                <w:color w:val="000000"/>
                <w:kern w:val="0"/>
                <w:sz w:val="24"/>
                <w:szCs w:val="24"/>
                <w:highlight w:val="none"/>
                <w:lang w:eastAsia="zh-CN"/>
              </w:rPr>
              <w:t>生态环境监测网络覆盖情况</w:t>
            </w:r>
          </w:p>
        </w:tc>
        <w:tc>
          <w:tcPr>
            <w:tcW w:w="2678" w:type="pct"/>
            <w:tcBorders>
              <w:top w:val="single" w:color="auto" w:sz="4" w:space="0"/>
              <w:left w:val="single" w:color="auto" w:sz="4" w:space="0"/>
              <w:bottom w:val="single" w:color="auto" w:sz="4" w:space="0"/>
              <w:right w:val="single" w:color="auto" w:sz="4" w:space="0"/>
            </w:tcBorders>
            <w:vAlign w:val="center"/>
          </w:tcPr>
          <w:p w14:paraId="56570214">
            <w:pPr>
              <w:widowControl w:val="0"/>
              <w:kinsoku/>
              <w:autoSpaceDE/>
              <w:autoSpaceDN/>
              <w:adjustRightInd w:val="0"/>
              <w:snapToGrid w:val="0"/>
              <w:spacing w:before="21" w:beforeLines="5" w:after="21" w:afterLines="5" w:line="300" w:lineRule="atLeast"/>
              <w:ind w:firstLine="0" w:firstLineChars="0"/>
              <w:textAlignment w:val="auto"/>
              <w:rPr>
                <w:rFonts w:ascii="Times New Roman" w:hAnsi="Times New Roman" w:eastAsia="仿宋_GB2312" w:cs="黑体"/>
                <w:snapToGrid w:val="0"/>
                <w:color w:val="000000"/>
                <w:kern w:val="0"/>
                <w:sz w:val="24"/>
                <w:szCs w:val="24"/>
                <w:highlight w:val="none"/>
                <w:lang w:eastAsia="zh-CN"/>
              </w:rPr>
            </w:pPr>
            <w:r>
              <w:rPr>
                <w:rFonts w:hint="eastAsia" w:ascii="Times New Roman" w:hAnsi="Times New Roman" w:eastAsia="仿宋_GB2312" w:cs="黑体"/>
                <w:snapToGrid w:val="0"/>
                <w:color w:val="000000"/>
                <w:kern w:val="0"/>
                <w:sz w:val="24"/>
                <w:szCs w:val="24"/>
                <w:highlight w:val="none"/>
                <w:lang w:eastAsia="zh-CN"/>
              </w:rPr>
              <w:t>统计城市生态环境监测体系在大气、水、土壤和地下水、声、辐射、新污染物、生态质量监测等方面的监测要素数量、监测站点密度、监测体系情况，以及探索运用新型监控手段加强生态环境感知体系建设的情况。</w:t>
            </w:r>
          </w:p>
        </w:tc>
        <w:tc>
          <w:tcPr>
            <w:tcW w:w="630" w:type="pct"/>
            <w:tcBorders>
              <w:top w:val="single" w:color="auto" w:sz="4" w:space="0"/>
              <w:left w:val="single" w:color="auto" w:sz="4" w:space="0"/>
              <w:bottom w:val="single" w:color="auto" w:sz="4" w:space="0"/>
              <w:right w:val="single" w:color="auto" w:sz="4" w:space="0"/>
            </w:tcBorders>
            <w:vAlign w:val="center"/>
          </w:tcPr>
          <w:p w14:paraId="08F8BF2F">
            <w:pPr>
              <w:widowControl w:val="0"/>
              <w:kinsoku/>
              <w:autoSpaceDE/>
              <w:autoSpaceDN/>
              <w:adjustRightInd w:val="0"/>
              <w:snapToGrid w:val="0"/>
              <w:spacing w:before="21" w:beforeLines="5" w:after="21" w:afterLines="5" w:line="300" w:lineRule="atLeast"/>
              <w:ind w:firstLine="0" w:firstLineChars="0"/>
              <w:jc w:val="center"/>
              <w:textAlignment w:val="auto"/>
              <w:rPr>
                <w:rFonts w:hint="eastAsia" w:ascii="Times New Roman" w:hAnsi="Times New Roman" w:eastAsia="仿宋_GB2312" w:cs="黑体"/>
                <w:snapToGrid w:val="0"/>
                <w:color w:val="000000"/>
                <w:spacing w:val="-1"/>
                <w:kern w:val="0"/>
                <w:sz w:val="24"/>
                <w:szCs w:val="24"/>
                <w:highlight w:val="none"/>
                <w:lang w:eastAsia="zh-CN"/>
              </w:rPr>
            </w:pPr>
            <w:r>
              <w:rPr>
                <w:rFonts w:hint="eastAsia" w:ascii="Times New Roman" w:hAnsi="Times New Roman" w:eastAsia="仿宋_GB2312" w:cs="黑体"/>
                <w:snapToGrid w:val="0"/>
                <w:color w:val="000000"/>
                <w:kern w:val="0"/>
                <w:sz w:val="24"/>
                <w:szCs w:val="24"/>
                <w:highlight w:val="none"/>
                <w:lang w:eastAsia="en-US"/>
              </w:rPr>
              <w:t>市域</w:t>
            </w:r>
          </w:p>
        </w:tc>
      </w:tr>
      <w:tr w14:paraId="6992A7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499" w:type="pct"/>
            <w:vMerge w:val="continue"/>
            <w:tcBorders>
              <w:top w:val="single" w:color="auto" w:sz="4" w:space="0"/>
              <w:left w:val="single" w:color="auto" w:sz="4" w:space="0"/>
              <w:bottom w:val="single" w:color="auto" w:sz="4" w:space="0"/>
              <w:right w:val="single" w:color="auto" w:sz="4" w:space="0"/>
            </w:tcBorders>
            <w:vAlign w:val="center"/>
          </w:tcPr>
          <w:p w14:paraId="25952D45">
            <w:pPr>
              <w:widowControl/>
              <w:kinsoku/>
              <w:autoSpaceDE/>
              <w:autoSpaceDN/>
              <w:adjustRightInd w:val="0"/>
              <w:snapToGrid w:val="0"/>
              <w:spacing w:before="21" w:beforeLines="5" w:after="21" w:afterLines="5" w:line="300" w:lineRule="atLeast"/>
              <w:ind w:firstLine="0" w:firstLineChars="0"/>
              <w:jc w:val="left"/>
              <w:textAlignment w:val="auto"/>
              <w:rPr>
                <w:rFonts w:ascii="Times New Roman" w:hAnsi="Times New Roman" w:eastAsia="仿宋_GB2312" w:cs="黑体"/>
                <w:snapToGrid w:val="0"/>
                <w:color w:val="000000"/>
                <w:kern w:val="0"/>
                <w:sz w:val="24"/>
                <w:szCs w:val="24"/>
                <w:highlight w:val="none"/>
                <w:lang w:eastAsia="en-US"/>
              </w:rPr>
            </w:pPr>
          </w:p>
        </w:tc>
        <w:tc>
          <w:tcPr>
            <w:tcW w:w="294" w:type="pct"/>
            <w:tcBorders>
              <w:top w:val="single" w:color="auto" w:sz="4" w:space="0"/>
              <w:left w:val="single" w:color="auto" w:sz="4" w:space="0"/>
              <w:bottom w:val="single" w:color="auto" w:sz="4" w:space="0"/>
              <w:right w:val="single" w:color="auto" w:sz="4" w:space="0"/>
            </w:tcBorders>
            <w:vAlign w:val="center"/>
          </w:tcPr>
          <w:p w14:paraId="1F2BF7BD">
            <w:pPr>
              <w:keepNext w:val="0"/>
              <w:keepLines w:val="0"/>
              <w:pageBreakBefore w:val="0"/>
              <w:widowControl w:val="0"/>
              <w:numPr>
                <w:ilvl w:val="0"/>
                <w:numId w:val="4"/>
              </w:numPr>
              <w:tabs>
                <w:tab w:val="left" w:pos="312"/>
              </w:tabs>
              <w:kinsoku/>
              <w:wordWrap/>
              <w:overflowPunct/>
              <w:topLinePunct w:val="0"/>
              <w:autoSpaceDE/>
              <w:autoSpaceDN/>
              <w:bidi w:val="0"/>
              <w:adjustRightInd w:val="0"/>
              <w:snapToGrid w:val="0"/>
              <w:spacing w:before="21" w:beforeLines="5" w:after="21" w:afterLines="5" w:line="300" w:lineRule="atLeast"/>
              <w:ind w:firstLine="0" w:firstLineChars="0"/>
              <w:jc w:val="center"/>
              <w:textAlignment w:val="auto"/>
              <w:rPr>
                <w:rFonts w:ascii="Times New Roman" w:hAnsi="Times New Roman" w:eastAsia="仿宋_GB2312" w:cs="黑体"/>
                <w:snapToGrid w:val="0"/>
                <w:color w:val="000000"/>
                <w:kern w:val="2"/>
                <w:sz w:val="24"/>
                <w:szCs w:val="24"/>
                <w:highlight w:val="none"/>
                <w:lang w:eastAsia="zh-CN"/>
              </w:rPr>
            </w:pPr>
          </w:p>
        </w:tc>
        <w:tc>
          <w:tcPr>
            <w:tcW w:w="896" w:type="pct"/>
            <w:tcBorders>
              <w:top w:val="single" w:color="auto" w:sz="4" w:space="0"/>
              <w:left w:val="single" w:color="auto" w:sz="4" w:space="0"/>
              <w:bottom w:val="single" w:color="auto" w:sz="4" w:space="0"/>
              <w:right w:val="single" w:color="auto" w:sz="4" w:space="0"/>
            </w:tcBorders>
            <w:vAlign w:val="center"/>
          </w:tcPr>
          <w:p w14:paraId="20C0F88B">
            <w:pPr>
              <w:widowControl w:val="0"/>
              <w:kinsoku/>
              <w:autoSpaceDE/>
              <w:autoSpaceDN/>
              <w:adjustRightInd w:val="0"/>
              <w:snapToGrid w:val="0"/>
              <w:spacing w:before="21" w:beforeLines="5" w:after="21" w:afterLines="5" w:line="300" w:lineRule="atLeast"/>
              <w:ind w:firstLine="0" w:firstLineChars="0"/>
              <w:jc w:val="center"/>
              <w:textAlignment w:val="auto"/>
              <w:rPr>
                <w:rFonts w:ascii="Times New Roman" w:hAnsi="Times New Roman" w:eastAsia="仿宋_GB2312" w:cs="黑体"/>
                <w:snapToGrid w:val="0"/>
                <w:color w:val="000000"/>
                <w:kern w:val="0"/>
                <w:sz w:val="24"/>
                <w:szCs w:val="24"/>
                <w:highlight w:val="none"/>
                <w:lang w:eastAsia="zh-CN"/>
              </w:rPr>
            </w:pPr>
            <w:r>
              <w:rPr>
                <w:rFonts w:hint="eastAsia" w:ascii="Times New Roman" w:hAnsi="Times New Roman" w:eastAsia="仿宋_GB2312" w:cs="黑体"/>
                <w:snapToGrid w:val="0"/>
                <w:color w:val="000000"/>
                <w:kern w:val="0"/>
                <w:sz w:val="24"/>
                <w:szCs w:val="24"/>
                <w:highlight w:val="none"/>
                <w:lang w:eastAsia="zh-CN"/>
              </w:rPr>
              <w:t>城市智慧环保信息平台应用场景（个）</w:t>
            </w:r>
          </w:p>
        </w:tc>
        <w:tc>
          <w:tcPr>
            <w:tcW w:w="2678" w:type="pct"/>
            <w:tcBorders>
              <w:top w:val="single" w:color="auto" w:sz="4" w:space="0"/>
              <w:left w:val="single" w:color="auto" w:sz="4" w:space="0"/>
              <w:bottom w:val="single" w:color="auto" w:sz="4" w:space="0"/>
              <w:right w:val="single" w:color="auto" w:sz="4" w:space="0"/>
            </w:tcBorders>
            <w:vAlign w:val="center"/>
          </w:tcPr>
          <w:p w14:paraId="0795F1AF">
            <w:pPr>
              <w:widowControl w:val="0"/>
              <w:kinsoku/>
              <w:autoSpaceDE/>
              <w:autoSpaceDN/>
              <w:adjustRightInd w:val="0"/>
              <w:snapToGrid w:val="0"/>
              <w:spacing w:before="21" w:beforeLines="5" w:after="21" w:afterLines="5" w:line="300" w:lineRule="atLeast"/>
              <w:ind w:firstLine="0" w:firstLineChars="0"/>
              <w:textAlignment w:val="auto"/>
              <w:rPr>
                <w:rFonts w:ascii="Times New Roman" w:hAnsi="Times New Roman" w:eastAsia="仿宋_GB2312" w:cs="黑体"/>
                <w:snapToGrid w:val="0"/>
                <w:color w:val="000000"/>
                <w:kern w:val="0"/>
                <w:sz w:val="24"/>
                <w:szCs w:val="24"/>
                <w:highlight w:val="none"/>
                <w:lang w:eastAsia="zh-CN"/>
              </w:rPr>
            </w:pPr>
            <w:r>
              <w:rPr>
                <w:rFonts w:hint="eastAsia" w:ascii="Times New Roman" w:hAnsi="Times New Roman" w:eastAsia="仿宋_GB2312" w:cs="黑体"/>
                <w:snapToGrid w:val="0"/>
                <w:color w:val="000000"/>
                <w:kern w:val="0"/>
                <w:sz w:val="24"/>
                <w:szCs w:val="24"/>
                <w:highlight w:val="none"/>
                <w:lang w:eastAsia="zh-CN"/>
              </w:rPr>
              <w:t>城市智慧环保信息平台应用场景个数。</w:t>
            </w:r>
          </w:p>
        </w:tc>
        <w:tc>
          <w:tcPr>
            <w:tcW w:w="630" w:type="pct"/>
            <w:tcBorders>
              <w:top w:val="single" w:color="auto" w:sz="4" w:space="0"/>
              <w:left w:val="single" w:color="auto" w:sz="4" w:space="0"/>
              <w:bottom w:val="single" w:color="auto" w:sz="4" w:space="0"/>
              <w:right w:val="single" w:color="auto" w:sz="4" w:space="0"/>
            </w:tcBorders>
            <w:vAlign w:val="center"/>
          </w:tcPr>
          <w:p w14:paraId="4F89937F">
            <w:pPr>
              <w:widowControl w:val="0"/>
              <w:kinsoku/>
              <w:autoSpaceDE/>
              <w:autoSpaceDN/>
              <w:adjustRightInd w:val="0"/>
              <w:snapToGrid w:val="0"/>
              <w:spacing w:before="21" w:beforeLines="5" w:after="21" w:afterLines="5" w:line="300" w:lineRule="atLeast"/>
              <w:ind w:firstLine="0" w:firstLineChars="0"/>
              <w:jc w:val="center"/>
              <w:textAlignment w:val="auto"/>
              <w:rPr>
                <w:rFonts w:hint="eastAsia" w:ascii="Times New Roman" w:hAnsi="Times New Roman" w:eastAsia="仿宋_GB2312" w:cs="黑体"/>
                <w:snapToGrid w:val="0"/>
                <w:color w:val="000000"/>
                <w:spacing w:val="-1"/>
                <w:kern w:val="0"/>
                <w:sz w:val="24"/>
                <w:szCs w:val="24"/>
                <w:highlight w:val="none"/>
                <w:lang w:eastAsia="zh-CN"/>
              </w:rPr>
            </w:pPr>
            <w:r>
              <w:rPr>
                <w:rFonts w:hint="eastAsia" w:ascii="Times New Roman" w:hAnsi="Times New Roman" w:eastAsia="仿宋_GB2312" w:cs="黑体"/>
                <w:snapToGrid w:val="0"/>
                <w:color w:val="000000"/>
                <w:kern w:val="0"/>
                <w:sz w:val="24"/>
                <w:szCs w:val="24"/>
                <w:highlight w:val="none"/>
                <w:lang w:eastAsia="en-US"/>
              </w:rPr>
              <w:t>市域</w:t>
            </w:r>
          </w:p>
        </w:tc>
      </w:tr>
      <w:tr w14:paraId="5F2F74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499" w:type="pct"/>
            <w:vMerge w:val="continue"/>
            <w:tcBorders>
              <w:top w:val="single" w:color="auto" w:sz="4" w:space="0"/>
              <w:left w:val="single" w:color="auto" w:sz="4" w:space="0"/>
              <w:bottom w:val="single" w:color="auto" w:sz="4" w:space="0"/>
              <w:right w:val="single" w:color="auto" w:sz="4" w:space="0"/>
            </w:tcBorders>
            <w:vAlign w:val="center"/>
          </w:tcPr>
          <w:p w14:paraId="5F35229F">
            <w:pPr>
              <w:widowControl/>
              <w:kinsoku/>
              <w:autoSpaceDE/>
              <w:autoSpaceDN/>
              <w:adjustRightInd w:val="0"/>
              <w:snapToGrid w:val="0"/>
              <w:spacing w:before="21" w:beforeLines="5" w:after="21" w:afterLines="5" w:line="300" w:lineRule="atLeast"/>
              <w:ind w:firstLine="0" w:firstLineChars="0"/>
              <w:jc w:val="left"/>
              <w:textAlignment w:val="auto"/>
              <w:rPr>
                <w:rFonts w:ascii="Times New Roman" w:hAnsi="Times New Roman" w:eastAsia="仿宋_GB2312" w:cs="黑体"/>
                <w:snapToGrid w:val="0"/>
                <w:color w:val="000000"/>
                <w:kern w:val="0"/>
                <w:sz w:val="24"/>
                <w:szCs w:val="24"/>
                <w:highlight w:val="none"/>
                <w:lang w:eastAsia="en-US"/>
              </w:rPr>
            </w:pPr>
          </w:p>
        </w:tc>
        <w:tc>
          <w:tcPr>
            <w:tcW w:w="294" w:type="pct"/>
            <w:tcBorders>
              <w:top w:val="single" w:color="auto" w:sz="4" w:space="0"/>
              <w:left w:val="single" w:color="auto" w:sz="4" w:space="0"/>
              <w:bottom w:val="single" w:color="auto" w:sz="4" w:space="0"/>
              <w:right w:val="single" w:color="auto" w:sz="4" w:space="0"/>
            </w:tcBorders>
            <w:vAlign w:val="center"/>
          </w:tcPr>
          <w:p w14:paraId="414CAA5F">
            <w:pPr>
              <w:keepNext w:val="0"/>
              <w:keepLines w:val="0"/>
              <w:pageBreakBefore w:val="0"/>
              <w:widowControl w:val="0"/>
              <w:numPr>
                <w:ilvl w:val="0"/>
                <w:numId w:val="4"/>
              </w:numPr>
              <w:tabs>
                <w:tab w:val="left" w:pos="312"/>
              </w:tabs>
              <w:kinsoku/>
              <w:wordWrap/>
              <w:overflowPunct/>
              <w:topLinePunct w:val="0"/>
              <w:autoSpaceDE/>
              <w:autoSpaceDN/>
              <w:bidi w:val="0"/>
              <w:adjustRightInd w:val="0"/>
              <w:snapToGrid w:val="0"/>
              <w:spacing w:before="21" w:beforeLines="5" w:after="21" w:afterLines="5" w:line="300" w:lineRule="atLeast"/>
              <w:ind w:firstLine="0" w:firstLineChars="0"/>
              <w:jc w:val="center"/>
              <w:textAlignment w:val="auto"/>
              <w:rPr>
                <w:rFonts w:ascii="Times New Roman" w:hAnsi="Times New Roman" w:eastAsia="仿宋_GB2312" w:cs="黑体"/>
                <w:snapToGrid w:val="0"/>
                <w:color w:val="000000"/>
                <w:kern w:val="2"/>
                <w:sz w:val="24"/>
                <w:szCs w:val="24"/>
                <w:highlight w:val="none"/>
                <w:lang w:eastAsia="en-US"/>
              </w:rPr>
            </w:pPr>
          </w:p>
        </w:tc>
        <w:tc>
          <w:tcPr>
            <w:tcW w:w="896" w:type="pct"/>
            <w:tcBorders>
              <w:top w:val="single" w:color="auto" w:sz="4" w:space="0"/>
              <w:left w:val="single" w:color="auto" w:sz="4" w:space="0"/>
              <w:bottom w:val="single" w:color="auto" w:sz="4" w:space="0"/>
              <w:right w:val="single" w:color="auto" w:sz="4" w:space="0"/>
            </w:tcBorders>
            <w:vAlign w:val="center"/>
          </w:tcPr>
          <w:p w14:paraId="4A3D4349">
            <w:pPr>
              <w:widowControl w:val="0"/>
              <w:kinsoku/>
              <w:autoSpaceDE/>
              <w:autoSpaceDN/>
              <w:adjustRightInd w:val="0"/>
              <w:snapToGrid w:val="0"/>
              <w:spacing w:before="21" w:beforeLines="5" w:after="21" w:afterLines="5" w:line="300" w:lineRule="atLeast"/>
              <w:ind w:firstLine="0" w:firstLineChars="0"/>
              <w:jc w:val="center"/>
              <w:textAlignment w:val="auto"/>
              <w:rPr>
                <w:rFonts w:ascii="Times New Roman" w:hAnsi="Times New Roman" w:eastAsia="仿宋_GB2312" w:cs="黑体"/>
                <w:snapToGrid w:val="0"/>
                <w:color w:val="000000"/>
                <w:kern w:val="0"/>
                <w:sz w:val="24"/>
                <w:szCs w:val="24"/>
                <w:highlight w:val="none"/>
                <w:lang w:eastAsia="zh-CN"/>
              </w:rPr>
            </w:pPr>
            <w:r>
              <w:rPr>
                <w:rFonts w:hint="eastAsia" w:ascii="Times New Roman" w:hAnsi="Times New Roman" w:eastAsia="仿宋_GB2312" w:cs="黑体"/>
                <w:snapToGrid w:val="0"/>
                <w:color w:val="000000"/>
                <w:kern w:val="0"/>
                <w:sz w:val="24"/>
                <w:szCs w:val="24"/>
                <w:highlight w:val="none"/>
                <w:lang w:eastAsia="zh-CN"/>
              </w:rPr>
              <w:t>公众对城市生态环境满意度（%）</w:t>
            </w:r>
          </w:p>
        </w:tc>
        <w:tc>
          <w:tcPr>
            <w:tcW w:w="2678" w:type="pct"/>
            <w:tcBorders>
              <w:top w:val="single" w:color="auto" w:sz="4" w:space="0"/>
              <w:left w:val="single" w:color="auto" w:sz="4" w:space="0"/>
              <w:bottom w:val="single" w:color="auto" w:sz="4" w:space="0"/>
              <w:right w:val="single" w:color="auto" w:sz="4" w:space="0"/>
            </w:tcBorders>
            <w:vAlign w:val="center"/>
          </w:tcPr>
          <w:p w14:paraId="4102B4E5">
            <w:pPr>
              <w:widowControl w:val="0"/>
              <w:kinsoku/>
              <w:autoSpaceDE/>
              <w:autoSpaceDN/>
              <w:adjustRightInd w:val="0"/>
              <w:snapToGrid w:val="0"/>
              <w:spacing w:before="21" w:beforeLines="5" w:after="21" w:afterLines="5" w:line="300" w:lineRule="atLeast"/>
              <w:ind w:firstLine="0" w:firstLineChars="0"/>
              <w:textAlignment w:val="auto"/>
              <w:rPr>
                <w:rFonts w:ascii="Times New Roman" w:hAnsi="Times New Roman" w:eastAsia="仿宋_GB2312" w:cs="黑体"/>
                <w:snapToGrid w:val="0"/>
                <w:color w:val="000000"/>
                <w:kern w:val="0"/>
                <w:sz w:val="24"/>
                <w:szCs w:val="24"/>
                <w:highlight w:val="none"/>
                <w:lang w:eastAsia="zh-CN"/>
              </w:rPr>
            </w:pPr>
            <w:r>
              <w:rPr>
                <w:rFonts w:hint="eastAsia" w:ascii="Times New Roman" w:hAnsi="Times New Roman" w:eastAsia="仿宋_GB2312" w:cs="黑体"/>
                <w:snapToGrid w:val="0"/>
                <w:color w:val="000000"/>
                <w:kern w:val="0"/>
                <w:sz w:val="24"/>
                <w:szCs w:val="24"/>
                <w:highlight w:val="none"/>
                <w:lang w:eastAsia="zh-CN"/>
              </w:rPr>
              <w:t>通过梳理近年来生态环境类信访投诉举报情况、问卷抽样调查和舆情分析情况，分析了解公众对美丽城市建设成效的满意程度。</w:t>
            </w:r>
          </w:p>
        </w:tc>
        <w:tc>
          <w:tcPr>
            <w:tcW w:w="630" w:type="pct"/>
            <w:tcBorders>
              <w:top w:val="single" w:color="auto" w:sz="4" w:space="0"/>
              <w:left w:val="single" w:color="auto" w:sz="4" w:space="0"/>
              <w:bottom w:val="single" w:color="auto" w:sz="4" w:space="0"/>
              <w:right w:val="single" w:color="auto" w:sz="4" w:space="0"/>
            </w:tcBorders>
            <w:vAlign w:val="center"/>
          </w:tcPr>
          <w:p w14:paraId="06361E6B">
            <w:pPr>
              <w:widowControl w:val="0"/>
              <w:kinsoku/>
              <w:autoSpaceDE/>
              <w:autoSpaceDN/>
              <w:adjustRightInd w:val="0"/>
              <w:snapToGrid w:val="0"/>
              <w:spacing w:before="21" w:beforeLines="5" w:after="21" w:afterLines="5" w:line="300" w:lineRule="atLeast"/>
              <w:ind w:firstLine="0" w:firstLineChars="0"/>
              <w:jc w:val="center"/>
              <w:textAlignment w:val="auto"/>
              <w:rPr>
                <w:rFonts w:hint="eastAsia" w:ascii="Times New Roman" w:hAnsi="Times New Roman" w:eastAsia="仿宋_GB2312" w:cs="黑体"/>
                <w:snapToGrid w:val="0"/>
                <w:color w:val="000000"/>
                <w:kern w:val="0"/>
                <w:sz w:val="24"/>
                <w:szCs w:val="24"/>
                <w:highlight w:val="none"/>
                <w:lang w:eastAsia="zh-CN"/>
              </w:rPr>
            </w:pPr>
            <w:r>
              <w:rPr>
                <w:rFonts w:hint="eastAsia" w:ascii="Times New Roman" w:hAnsi="Times New Roman" w:eastAsia="仿宋_GB2312" w:cs="黑体"/>
                <w:snapToGrid w:val="0"/>
                <w:color w:val="000000"/>
                <w:kern w:val="0"/>
                <w:sz w:val="24"/>
                <w:szCs w:val="24"/>
                <w:highlight w:val="none"/>
                <w:lang w:eastAsia="en-US"/>
              </w:rPr>
              <w:t>城区</w:t>
            </w:r>
          </w:p>
        </w:tc>
      </w:tr>
    </w:tbl>
    <w:p w14:paraId="1E02D869">
      <w:pPr>
        <w:widowControl w:val="0"/>
        <w:jc w:val="both"/>
        <w:rPr>
          <w:rFonts w:hint="default" w:ascii="Times New Roman" w:hAnsi="Times New Roman" w:eastAsia="宋体" w:cs="Times New Roman"/>
          <w:b w:val="0"/>
          <w:bCs w:val="0"/>
          <w:kern w:val="2"/>
          <w:sz w:val="21"/>
          <w:szCs w:val="24"/>
          <w:highlight w:val="none"/>
          <w:lang w:val="en-US" w:eastAsia="zh-CN" w:bidi="ar-SA"/>
        </w:rPr>
      </w:pPr>
    </w:p>
    <w:p w14:paraId="18913E02">
      <w:pPr>
        <w:widowControl w:val="0"/>
        <w:jc w:val="both"/>
        <w:rPr>
          <w:rFonts w:hint="default" w:ascii="Times New Roman" w:hAnsi="Times New Roman" w:eastAsia="宋体" w:cs="Times New Roman"/>
          <w:b w:val="0"/>
          <w:bCs w:val="0"/>
          <w:kern w:val="2"/>
          <w:sz w:val="21"/>
          <w:szCs w:val="24"/>
          <w:highlight w:val="none"/>
          <w:lang w:val="en-US" w:eastAsia="zh-CN" w:bidi="ar-SA"/>
        </w:rPr>
      </w:pPr>
    </w:p>
    <w:p w14:paraId="6F294DC0">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sz w:val="32"/>
          <w:szCs w:val="32"/>
        </w:rPr>
        <w:sectPr>
          <w:footerReference r:id="rId4" w:type="default"/>
          <w:pgSz w:w="16838" w:h="11906" w:orient="landscape"/>
          <w:pgMar w:top="1800" w:right="1440" w:bottom="1800" w:left="1440" w:header="851" w:footer="992" w:gutter="0"/>
          <w:pgNumType w:fmt="decimal"/>
          <w:cols w:space="720" w:num="1"/>
          <w:docGrid w:type="lines" w:linePitch="312" w:charSpace="0"/>
        </w:sectPr>
      </w:pPr>
    </w:p>
    <w:p w14:paraId="6EE68BB7">
      <w:pPr>
        <w:jc w:val="both"/>
        <w:rPr>
          <w:rFonts w:hint="eastAsia" w:ascii="Times New Roman" w:hAnsi="Times New Roman" w:eastAsia="黑体" w:cs="黑体"/>
          <w:b w:val="0"/>
          <w:bCs w:val="0"/>
          <w:sz w:val="32"/>
          <w:szCs w:val="32"/>
          <w:highlight w:val="none"/>
          <w:lang w:val="en-US" w:eastAsia="zh-CN"/>
        </w:rPr>
      </w:pPr>
      <w:bookmarkStart w:id="1" w:name="_Toc25475"/>
      <w:r>
        <w:rPr>
          <w:rFonts w:hint="eastAsia" w:ascii="Times New Roman" w:hAnsi="Times New Roman" w:eastAsia="黑体" w:cs="黑体"/>
          <w:b w:val="0"/>
          <w:bCs w:val="0"/>
          <w:sz w:val="32"/>
          <w:szCs w:val="32"/>
          <w:highlight w:val="none"/>
        </w:rPr>
        <w:t>附</w:t>
      </w:r>
      <w:bookmarkEnd w:id="1"/>
      <w:r>
        <w:rPr>
          <w:rFonts w:hint="eastAsia" w:ascii="Times New Roman" w:hAnsi="Times New Roman" w:eastAsia="黑体" w:cs="黑体"/>
          <w:b w:val="0"/>
          <w:bCs w:val="0"/>
          <w:sz w:val="32"/>
          <w:szCs w:val="32"/>
          <w:highlight w:val="none"/>
          <w:lang w:val="en-US" w:eastAsia="zh-CN"/>
        </w:rPr>
        <w:t>3</w:t>
      </w:r>
    </w:p>
    <w:p w14:paraId="698095DD">
      <w:pPr>
        <w:jc w:val="center"/>
        <w:rPr>
          <w:rFonts w:ascii="方正小标宋简体" w:hAnsi="方正小标宋简体" w:eastAsia="方正小标宋简体" w:cs="方正小标宋简体"/>
          <w:sz w:val="36"/>
          <w:szCs w:val="36"/>
          <w:highlight w:val="none"/>
        </w:rPr>
      </w:pPr>
      <w:r>
        <w:rPr>
          <w:rFonts w:hint="eastAsia" w:ascii="方正小标宋简体" w:hAnsi="方正小标宋简体" w:eastAsia="方正小标宋简体" w:cs="方正小标宋简体"/>
          <w:sz w:val="40"/>
          <w:szCs w:val="40"/>
          <w:highlight w:val="none"/>
          <w:lang w:val="en-US" w:eastAsia="zh-CN"/>
        </w:rPr>
        <w:t>黄石市美丽城市建设任务清单</w:t>
      </w:r>
    </w:p>
    <w:p w14:paraId="3CF36483">
      <w:pPr>
        <w:spacing w:line="300" w:lineRule="exact"/>
        <w:rPr>
          <w:rFonts w:ascii="Calibri" w:hAnsi="Calibri" w:eastAsia="宋体" w:cs="Times New Roman"/>
          <w:highlight w:val="none"/>
        </w:rPr>
      </w:pPr>
    </w:p>
    <w:tbl>
      <w:tblPr>
        <w:tblStyle w:val="12"/>
        <w:tblW w:w="5251"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61"/>
        <w:gridCol w:w="780"/>
        <w:gridCol w:w="7093"/>
        <w:gridCol w:w="1889"/>
        <w:gridCol w:w="2048"/>
        <w:gridCol w:w="2780"/>
      </w:tblGrid>
      <w:tr w14:paraId="33C3B1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jc w:val="center"/>
        </w:trPr>
        <w:tc>
          <w:tcPr>
            <w:tcW w:w="153" w:type="pct"/>
            <w:vAlign w:val="center"/>
          </w:tcPr>
          <w:p w14:paraId="2CA1799B">
            <w:pPr>
              <w:spacing w:line="300" w:lineRule="exact"/>
              <w:jc w:val="center"/>
              <w:rPr>
                <w:rFonts w:ascii="仿宋_GB2312" w:hAnsi="仿宋_GB2312" w:eastAsia="仿宋_GB2312" w:cs="仿宋_GB2312"/>
                <w:b/>
                <w:bCs/>
                <w:sz w:val="24"/>
                <w:szCs w:val="24"/>
                <w:highlight w:val="none"/>
              </w:rPr>
            </w:pPr>
            <w:r>
              <w:rPr>
                <w:rFonts w:hint="eastAsia" w:ascii="仿宋_GB2312" w:hAnsi="仿宋_GB2312" w:eastAsia="仿宋_GB2312" w:cs="仿宋_GB2312"/>
                <w:b/>
                <w:bCs/>
                <w:sz w:val="24"/>
                <w:szCs w:val="24"/>
                <w:highlight w:val="none"/>
              </w:rPr>
              <w:t>领域</w:t>
            </w:r>
          </w:p>
        </w:tc>
        <w:tc>
          <w:tcPr>
            <w:tcW w:w="259" w:type="pct"/>
            <w:vAlign w:val="center"/>
          </w:tcPr>
          <w:p w14:paraId="45E115E0">
            <w:pPr>
              <w:spacing w:line="300" w:lineRule="exact"/>
              <w:jc w:val="center"/>
              <w:rPr>
                <w:rFonts w:ascii="仿宋_GB2312" w:hAnsi="仿宋_GB2312" w:eastAsia="仿宋_GB2312" w:cs="仿宋_GB2312"/>
                <w:b/>
                <w:bCs/>
                <w:sz w:val="24"/>
                <w:szCs w:val="24"/>
                <w:highlight w:val="none"/>
              </w:rPr>
            </w:pPr>
            <w:r>
              <w:rPr>
                <w:rFonts w:hint="eastAsia" w:ascii="仿宋_GB2312" w:hAnsi="仿宋_GB2312" w:eastAsia="仿宋_GB2312" w:cs="仿宋_GB2312"/>
                <w:b/>
                <w:bCs/>
                <w:sz w:val="24"/>
                <w:szCs w:val="24"/>
                <w:highlight w:val="none"/>
              </w:rPr>
              <w:t>任务</w:t>
            </w:r>
          </w:p>
          <w:p w14:paraId="05F906B5">
            <w:pPr>
              <w:spacing w:line="300" w:lineRule="exact"/>
              <w:jc w:val="center"/>
              <w:rPr>
                <w:rFonts w:ascii="仿宋_GB2312" w:hAnsi="仿宋_GB2312" w:eastAsia="仿宋_GB2312" w:cs="仿宋_GB2312"/>
                <w:b/>
                <w:bCs/>
                <w:sz w:val="24"/>
                <w:szCs w:val="24"/>
                <w:highlight w:val="none"/>
              </w:rPr>
            </w:pPr>
            <w:r>
              <w:rPr>
                <w:rFonts w:hint="eastAsia" w:ascii="仿宋_GB2312" w:hAnsi="仿宋_GB2312" w:eastAsia="仿宋_GB2312" w:cs="仿宋_GB2312"/>
                <w:b/>
                <w:bCs/>
                <w:sz w:val="24"/>
                <w:szCs w:val="24"/>
                <w:highlight w:val="none"/>
              </w:rPr>
              <w:t>名称</w:t>
            </w:r>
          </w:p>
        </w:tc>
        <w:tc>
          <w:tcPr>
            <w:tcW w:w="2355" w:type="pct"/>
            <w:vAlign w:val="center"/>
          </w:tcPr>
          <w:p w14:paraId="36A295A1">
            <w:pPr>
              <w:spacing w:line="300" w:lineRule="exact"/>
              <w:jc w:val="center"/>
              <w:rPr>
                <w:rFonts w:ascii="仿宋_GB2312" w:hAnsi="仿宋_GB2312" w:eastAsia="仿宋_GB2312" w:cs="仿宋_GB2312"/>
                <w:b/>
                <w:bCs/>
                <w:sz w:val="24"/>
                <w:szCs w:val="24"/>
                <w:highlight w:val="none"/>
              </w:rPr>
            </w:pPr>
            <w:r>
              <w:rPr>
                <w:rFonts w:hint="eastAsia" w:ascii="仿宋_GB2312" w:hAnsi="仿宋_GB2312" w:eastAsia="仿宋_GB2312" w:cs="仿宋_GB2312"/>
                <w:b/>
                <w:bCs/>
                <w:sz w:val="24"/>
                <w:szCs w:val="24"/>
                <w:highlight w:val="none"/>
              </w:rPr>
              <w:t>具体内容</w:t>
            </w:r>
          </w:p>
        </w:tc>
        <w:tc>
          <w:tcPr>
            <w:tcW w:w="627" w:type="pct"/>
            <w:vAlign w:val="center"/>
          </w:tcPr>
          <w:p w14:paraId="6C7512AE">
            <w:pPr>
              <w:spacing w:line="300" w:lineRule="exact"/>
              <w:jc w:val="center"/>
              <w:rPr>
                <w:rFonts w:ascii="仿宋_GB2312" w:hAnsi="仿宋_GB2312" w:eastAsia="仿宋_GB2312" w:cs="仿宋_GB2312"/>
                <w:b/>
                <w:bCs/>
                <w:sz w:val="24"/>
                <w:szCs w:val="24"/>
                <w:highlight w:val="none"/>
              </w:rPr>
            </w:pPr>
            <w:r>
              <w:rPr>
                <w:rFonts w:hint="eastAsia" w:ascii="仿宋_GB2312" w:hAnsi="仿宋_GB2312" w:eastAsia="仿宋_GB2312" w:cs="仿宋_GB2312"/>
                <w:b/>
                <w:bCs/>
                <w:sz w:val="24"/>
                <w:szCs w:val="24"/>
                <w:highlight w:val="none"/>
              </w:rPr>
              <w:t>完成时限</w:t>
            </w:r>
          </w:p>
        </w:tc>
        <w:tc>
          <w:tcPr>
            <w:tcW w:w="680" w:type="pct"/>
            <w:vAlign w:val="center"/>
          </w:tcPr>
          <w:p w14:paraId="1DFA5F9B">
            <w:pPr>
              <w:spacing w:line="300" w:lineRule="exact"/>
              <w:jc w:val="center"/>
              <w:rPr>
                <w:rFonts w:ascii="仿宋_GB2312" w:hAnsi="仿宋_GB2312" w:eastAsia="仿宋_GB2312" w:cs="仿宋_GB2312"/>
                <w:b/>
                <w:bCs/>
                <w:sz w:val="24"/>
                <w:szCs w:val="24"/>
                <w:highlight w:val="none"/>
              </w:rPr>
            </w:pPr>
            <w:r>
              <w:rPr>
                <w:rFonts w:hint="eastAsia" w:ascii="仿宋_GB2312" w:hAnsi="仿宋_GB2312" w:eastAsia="仿宋_GB2312" w:cs="仿宋_GB2312"/>
                <w:b/>
                <w:bCs/>
                <w:sz w:val="24"/>
                <w:szCs w:val="24"/>
                <w:highlight w:val="none"/>
              </w:rPr>
              <w:t>牵头单位</w:t>
            </w:r>
          </w:p>
        </w:tc>
        <w:tc>
          <w:tcPr>
            <w:tcW w:w="923" w:type="pct"/>
            <w:vAlign w:val="center"/>
          </w:tcPr>
          <w:p w14:paraId="33CCFBF2">
            <w:pPr>
              <w:spacing w:line="300" w:lineRule="exact"/>
              <w:jc w:val="center"/>
              <w:rPr>
                <w:rFonts w:ascii="仿宋_GB2312" w:hAnsi="仿宋_GB2312" w:eastAsia="仿宋_GB2312" w:cs="仿宋_GB2312"/>
                <w:b/>
                <w:bCs/>
                <w:sz w:val="24"/>
                <w:szCs w:val="24"/>
                <w:highlight w:val="none"/>
              </w:rPr>
            </w:pPr>
            <w:r>
              <w:rPr>
                <w:rFonts w:hint="eastAsia" w:ascii="仿宋_GB2312" w:hAnsi="仿宋_GB2312" w:eastAsia="仿宋_GB2312" w:cs="仿宋_GB2312"/>
                <w:b/>
                <w:bCs/>
                <w:sz w:val="24"/>
                <w:szCs w:val="24"/>
                <w:highlight w:val="none"/>
              </w:rPr>
              <w:t>责任单位</w:t>
            </w:r>
          </w:p>
        </w:tc>
      </w:tr>
      <w:tr w14:paraId="50F427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3" w:type="pct"/>
            <w:vMerge w:val="restart"/>
            <w:vAlign w:val="center"/>
          </w:tcPr>
          <w:p w14:paraId="7D876CCA">
            <w:pPr>
              <w:spacing w:line="254" w:lineRule="exact"/>
              <w:jc w:val="center"/>
              <w:rPr>
                <w:rFonts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绿色低碳</w:t>
            </w:r>
          </w:p>
        </w:tc>
        <w:tc>
          <w:tcPr>
            <w:tcW w:w="259" w:type="pct"/>
            <w:vMerge w:val="restart"/>
            <w:vAlign w:val="center"/>
          </w:tcPr>
          <w:p w14:paraId="5DC774E3">
            <w:pPr>
              <w:spacing w:line="254" w:lineRule="exact"/>
              <w:jc w:val="center"/>
              <w:rPr>
                <w:rFonts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1.优化城市空间布局</w:t>
            </w:r>
          </w:p>
        </w:tc>
        <w:tc>
          <w:tcPr>
            <w:tcW w:w="2355" w:type="pct"/>
            <w:vAlign w:val="center"/>
          </w:tcPr>
          <w:p w14:paraId="06E201DE">
            <w:pPr>
              <w:spacing w:line="254" w:lineRule="exact"/>
              <w:jc w:val="left"/>
              <w:rPr>
                <w:rFonts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完善城市空间结构，统筹推进老城区功能疏解和新区功能完善，构建以黄石－大冶城区为主、阳新城区为辅的“主副联动”城市发展格局。</w:t>
            </w:r>
          </w:p>
        </w:tc>
        <w:tc>
          <w:tcPr>
            <w:tcW w:w="627" w:type="pct"/>
            <w:vAlign w:val="center"/>
          </w:tcPr>
          <w:p w14:paraId="36132423">
            <w:pPr>
              <w:spacing w:line="254" w:lineRule="exact"/>
              <w:jc w:val="center"/>
              <w:rPr>
                <w:rFonts w:hint="default" w:ascii="仿宋_GB2312" w:hAnsi="仿宋_GB2312" w:eastAsia="仿宋_GB2312" w:cs="仿宋_GB2312"/>
                <w:sz w:val="24"/>
                <w:szCs w:val="24"/>
                <w:highlight w:val="none"/>
                <w:lang w:val="en-US" w:eastAsia="zh-CN"/>
              </w:rPr>
            </w:pPr>
            <w:r>
              <w:rPr>
                <w:rFonts w:hint="eastAsia" w:ascii="仿宋_GB2312" w:hAnsi="仿宋_GB2312" w:eastAsia="仿宋_GB2312" w:cs="仿宋_GB2312"/>
                <w:sz w:val="24"/>
                <w:szCs w:val="24"/>
                <w:highlight w:val="none"/>
                <w:lang w:val="en-US" w:eastAsia="zh-CN"/>
              </w:rPr>
              <w:t>2030年</w:t>
            </w:r>
          </w:p>
        </w:tc>
        <w:tc>
          <w:tcPr>
            <w:tcW w:w="680" w:type="pct"/>
            <w:vAlign w:val="center"/>
          </w:tcPr>
          <w:p w14:paraId="0E2205FF">
            <w:pPr>
              <w:spacing w:line="254" w:lineRule="exact"/>
              <w:jc w:val="center"/>
              <w:rPr>
                <w:rFonts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市自然资源和城乡建设局</w:t>
            </w:r>
          </w:p>
        </w:tc>
        <w:tc>
          <w:tcPr>
            <w:tcW w:w="923" w:type="pct"/>
            <w:vAlign w:val="center"/>
          </w:tcPr>
          <w:p w14:paraId="29935E2F">
            <w:pPr>
              <w:spacing w:line="254" w:lineRule="exact"/>
              <w:jc w:val="center"/>
              <w:rPr>
                <w:rFonts w:hint="eastAsia" w:ascii="仿宋_GB2312" w:hAnsi="仿宋_GB2312" w:eastAsia="仿宋_GB2312" w:cs="仿宋_GB2312"/>
                <w:sz w:val="24"/>
                <w:szCs w:val="24"/>
                <w:highlight w:val="none"/>
                <w:lang w:val="en-US" w:eastAsia="zh-CN"/>
              </w:rPr>
            </w:pPr>
            <w:r>
              <w:rPr>
                <w:rFonts w:hint="eastAsia" w:ascii="仿宋_GB2312" w:hAnsi="仿宋_GB2312" w:eastAsia="仿宋_GB2312" w:cs="仿宋_GB2312"/>
                <w:sz w:val="24"/>
                <w:szCs w:val="24"/>
                <w:highlight w:val="none"/>
                <w:lang w:val="en-US" w:eastAsia="zh-CN"/>
              </w:rPr>
              <w:t>市发改委、市住房和城市更新局</w:t>
            </w:r>
          </w:p>
        </w:tc>
      </w:tr>
      <w:tr w14:paraId="678B36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53" w:type="pct"/>
            <w:vMerge w:val="continue"/>
            <w:vAlign w:val="center"/>
          </w:tcPr>
          <w:p w14:paraId="4128F28F">
            <w:pPr>
              <w:spacing w:line="254" w:lineRule="exact"/>
              <w:jc w:val="center"/>
              <w:rPr>
                <w:rFonts w:hint="eastAsia" w:ascii="仿宋_GB2312" w:hAnsi="仿宋_GB2312" w:eastAsia="仿宋_GB2312" w:cs="仿宋_GB2312"/>
                <w:sz w:val="24"/>
                <w:szCs w:val="24"/>
                <w:highlight w:val="none"/>
              </w:rPr>
            </w:pPr>
          </w:p>
        </w:tc>
        <w:tc>
          <w:tcPr>
            <w:tcW w:w="259" w:type="pct"/>
            <w:vMerge w:val="continue"/>
            <w:vAlign w:val="center"/>
          </w:tcPr>
          <w:p w14:paraId="5D108B5B">
            <w:pPr>
              <w:spacing w:line="254" w:lineRule="exact"/>
              <w:jc w:val="center"/>
              <w:rPr>
                <w:rFonts w:hint="eastAsia" w:ascii="仿宋_GB2312" w:hAnsi="仿宋_GB2312" w:eastAsia="仿宋_GB2312" w:cs="仿宋_GB2312"/>
                <w:sz w:val="24"/>
                <w:szCs w:val="24"/>
                <w:highlight w:val="none"/>
              </w:rPr>
            </w:pPr>
          </w:p>
        </w:tc>
        <w:tc>
          <w:tcPr>
            <w:tcW w:w="2355" w:type="pct"/>
            <w:vAlign w:val="center"/>
          </w:tcPr>
          <w:p w14:paraId="47CDF351">
            <w:pPr>
              <w:spacing w:line="254" w:lineRule="exact"/>
              <w:jc w:val="left"/>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统筹环大冶湖功能布局，加快建设大冶湖生态新区。</w:t>
            </w:r>
          </w:p>
        </w:tc>
        <w:tc>
          <w:tcPr>
            <w:tcW w:w="627" w:type="pct"/>
            <w:vAlign w:val="center"/>
          </w:tcPr>
          <w:p w14:paraId="6E4E1BF4">
            <w:pPr>
              <w:spacing w:line="254" w:lineRule="exact"/>
              <w:jc w:val="center"/>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202</w:t>
            </w:r>
            <w:r>
              <w:rPr>
                <w:rFonts w:hint="eastAsia" w:ascii="仿宋_GB2312" w:hAnsi="仿宋_GB2312" w:eastAsia="仿宋_GB2312" w:cs="仿宋_GB2312"/>
                <w:sz w:val="24"/>
                <w:szCs w:val="24"/>
                <w:highlight w:val="none"/>
                <w:lang w:val="en-US" w:eastAsia="zh-CN"/>
              </w:rPr>
              <w:t>7</w:t>
            </w:r>
            <w:r>
              <w:rPr>
                <w:rFonts w:hint="eastAsia" w:ascii="仿宋_GB2312" w:hAnsi="仿宋_GB2312" w:eastAsia="仿宋_GB2312" w:cs="仿宋_GB2312"/>
                <w:sz w:val="24"/>
                <w:szCs w:val="24"/>
                <w:highlight w:val="none"/>
              </w:rPr>
              <w:t>年</w:t>
            </w:r>
          </w:p>
        </w:tc>
        <w:tc>
          <w:tcPr>
            <w:tcW w:w="680" w:type="pct"/>
            <w:vAlign w:val="center"/>
          </w:tcPr>
          <w:p w14:paraId="30A4CA8D">
            <w:pPr>
              <w:spacing w:line="254" w:lineRule="exact"/>
              <w:jc w:val="center"/>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lang w:val="en-US" w:eastAsia="zh-CN"/>
              </w:rPr>
              <w:t>市发改委</w:t>
            </w:r>
          </w:p>
        </w:tc>
        <w:tc>
          <w:tcPr>
            <w:tcW w:w="923" w:type="pct"/>
            <w:vAlign w:val="center"/>
          </w:tcPr>
          <w:p w14:paraId="0D9206CE">
            <w:pPr>
              <w:spacing w:line="254" w:lineRule="exact"/>
              <w:jc w:val="center"/>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市自然资源和城乡建设局</w:t>
            </w:r>
            <w:r>
              <w:rPr>
                <w:rFonts w:hint="eastAsia" w:ascii="仿宋_GB2312" w:hAnsi="仿宋_GB2312" w:eastAsia="仿宋_GB2312" w:cs="仿宋_GB2312"/>
                <w:sz w:val="24"/>
                <w:szCs w:val="24"/>
                <w:highlight w:val="none"/>
                <w:lang w:eastAsia="zh-CN"/>
              </w:rPr>
              <w:t>、</w:t>
            </w:r>
            <w:r>
              <w:rPr>
                <w:rFonts w:hint="eastAsia" w:ascii="仿宋_GB2312" w:hAnsi="仿宋_GB2312" w:eastAsia="仿宋_GB2312" w:cs="仿宋_GB2312"/>
                <w:sz w:val="24"/>
                <w:szCs w:val="24"/>
                <w:highlight w:val="none"/>
                <w:lang w:val="en-US" w:eastAsia="zh-CN"/>
              </w:rPr>
              <w:t>市住房和城市更新局</w:t>
            </w:r>
          </w:p>
        </w:tc>
      </w:tr>
      <w:tr w14:paraId="4B4481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3" w:type="pct"/>
            <w:vMerge w:val="continue"/>
            <w:vAlign w:val="center"/>
          </w:tcPr>
          <w:p w14:paraId="67FDCB7A">
            <w:pPr>
              <w:spacing w:line="254" w:lineRule="exact"/>
              <w:jc w:val="center"/>
              <w:rPr>
                <w:rFonts w:ascii="仿宋_GB2312" w:hAnsi="仿宋_GB2312" w:eastAsia="仿宋_GB2312" w:cs="仿宋_GB2312"/>
                <w:sz w:val="24"/>
                <w:szCs w:val="24"/>
                <w:highlight w:val="none"/>
              </w:rPr>
            </w:pPr>
          </w:p>
        </w:tc>
        <w:tc>
          <w:tcPr>
            <w:tcW w:w="259" w:type="pct"/>
            <w:vMerge w:val="continue"/>
            <w:vAlign w:val="center"/>
          </w:tcPr>
          <w:p w14:paraId="19403D1D">
            <w:pPr>
              <w:spacing w:line="254" w:lineRule="exact"/>
              <w:jc w:val="center"/>
              <w:rPr>
                <w:rFonts w:ascii="仿宋_GB2312" w:hAnsi="仿宋_GB2312" w:eastAsia="仿宋_GB2312" w:cs="仿宋_GB2312"/>
                <w:sz w:val="24"/>
                <w:szCs w:val="24"/>
                <w:highlight w:val="none"/>
              </w:rPr>
            </w:pPr>
          </w:p>
        </w:tc>
        <w:tc>
          <w:tcPr>
            <w:tcW w:w="2355" w:type="pct"/>
            <w:vAlign w:val="center"/>
          </w:tcPr>
          <w:p w14:paraId="0A0850F8">
            <w:pPr>
              <w:spacing w:line="254" w:lineRule="exact"/>
              <w:jc w:val="left"/>
              <w:rPr>
                <w:rFonts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强化生态环境分区管控与应用，将生态环境管控单元及生态环境准入清单作为区域内产业布局、结构调整、资源开发、城镇建设、重大项目选址等重要依据，推进协同管控与治理。</w:t>
            </w:r>
          </w:p>
        </w:tc>
        <w:tc>
          <w:tcPr>
            <w:tcW w:w="627" w:type="pct"/>
            <w:vAlign w:val="center"/>
          </w:tcPr>
          <w:p w14:paraId="5FD27DAB">
            <w:pPr>
              <w:spacing w:line="254" w:lineRule="exact"/>
              <w:jc w:val="center"/>
              <w:rPr>
                <w:rFonts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持续推进</w:t>
            </w:r>
          </w:p>
        </w:tc>
        <w:tc>
          <w:tcPr>
            <w:tcW w:w="680" w:type="pct"/>
            <w:vAlign w:val="center"/>
          </w:tcPr>
          <w:p w14:paraId="58AE85BB">
            <w:pPr>
              <w:spacing w:line="254" w:lineRule="exact"/>
              <w:jc w:val="center"/>
              <w:rPr>
                <w:rFonts w:hint="eastAsia" w:ascii="仿宋_GB2312" w:hAnsi="仿宋_GB2312" w:eastAsia="仿宋_GB2312" w:cs="仿宋_GB2312"/>
                <w:sz w:val="24"/>
                <w:szCs w:val="24"/>
                <w:highlight w:val="none"/>
                <w:lang w:eastAsia="zh-CN"/>
              </w:rPr>
            </w:pPr>
            <w:r>
              <w:rPr>
                <w:rFonts w:hint="eastAsia" w:ascii="仿宋_GB2312" w:hAnsi="仿宋_GB2312" w:eastAsia="仿宋_GB2312" w:cs="仿宋_GB2312"/>
                <w:sz w:val="24"/>
                <w:szCs w:val="24"/>
                <w:highlight w:val="none"/>
              </w:rPr>
              <w:t>市生态环境局</w:t>
            </w:r>
          </w:p>
        </w:tc>
        <w:tc>
          <w:tcPr>
            <w:tcW w:w="923" w:type="pct"/>
            <w:vAlign w:val="center"/>
          </w:tcPr>
          <w:p w14:paraId="108B41B1">
            <w:pPr>
              <w:spacing w:line="254" w:lineRule="exact"/>
              <w:jc w:val="center"/>
              <w:rPr>
                <w:rFonts w:hint="default" w:ascii="仿宋_GB2312" w:hAnsi="仿宋_GB2312" w:eastAsia="仿宋_GB2312" w:cs="仿宋_GB2312"/>
                <w:sz w:val="24"/>
                <w:szCs w:val="24"/>
                <w:highlight w:val="none"/>
                <w:lang w:val="en-US" w:eastAsia="zh-CN"/>
              </w:rPr>
            </w:pPr>
            <w:r>
              <w:rPr>
                <w:rFonts w:hint="eastAsia" w:ascii="仿宋_GB2312" w:hAnsi="仿宋_GB2312" w:eastAsia="仿宋_GB2312" w:cs="仿宋_GB2312"/>
                <w:sz w:val="24"/>
                <w:szCs w:val="24"/>
                <w:highlight w:val="none"/>
              </w:rPr>
              <w:t>市发改委</w:t>
            </w:r>
            <w:r>
              <w:rPr>
                <w:rFonts w:hint="eastAsia" w:ascii="仿宋_GB2312" w:hAnsi="仿宋_GB2312" w:eastAsia="仿宋_GB2312" w:cs="仿宋_GB2312"/>
                <w:sz w:val="24"/>
                <w:szCs w:val="24"/>
                <w:highlight w:val="none"/>
                <w:lang w:eastAsia="zh-CN"/>
              </w:rPr>
              <w:t>、</w:t>
            </w:r>
            <w:r>
              <w:rPr>
                <w:rFonts w:hint="eastAsia" w:ascii="仿宋_GB2312" w:hAnsi="仿宋_GB2312" w:eastAsia="仿宋_GB2312" w:cs="仿宋_GB2312"/>
                <w:sz w:val="24"/>
                <w:szCs w:val="24"/>
                <w:highlight w:val="none"/>
              </w:rPr>
              <w:t>市自然资源和城乡建设局</w:t>
            </w:r>
            <w:r>
              <w:rPr>
                <w:rFonts w:hint="eastAsia" w:ascii="仿宋_GB2312" w:hAnsi="仿宋_GB2312" w:eastAsia="仿宋_GB2312" w:cs="仿宋_GB2312"/>
                <w:sz w:val="24"/>
                <w:szCs w:val="24"/>
                <w:highlight w:val="none"/>
                <w:lang w:eastAsia="zh-CN"/>
              </w:rPr>
              <w:t>、</w:t>
            </w:r>
            <w:r>
              <w:rPr>
                <w:rFonts w:hint="eastAsia" w:ascii="仿宋_GB2312" w:hAnsi="仿宋_GB2312" w:eastAsia="仿宋_GB2312" w:cs="仿宋_GB2312"/>
                <w:sz w:val="24"/>
                <w:szCs w:val="24"/>
                <w:highlight w:val="none"/>
                <w:lang w:val="en-US" w:eastAsia="zh-CN"/>
              </w:rPr>
              <w:t>市住房和城市更新局</w:t>
            </w:r>
          </w:p>
        </w:tc>
      </w:tr>
      <w:tr w14:paraId="08CDB6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4" w:hRule="atLeast"/>
          <w:jc w:val="center"/>
        </w:trPr>
        <w:tc>
          <w:tcPr>
            <w:tcW w:w="153" w:type="pct"/>
            <w:vMerge w:val="continue"/>
            <w:vAlign w:val="center"/>
          </w:tcPr>
          <w:p w14:paraId="315AE49A">
            <w:pPr>
              <w:spacing w:line="254" w:lineRule="exact"/>
              <w:jc w:val="center"/>
              <w:rPr>
                <w:rFonts w:ascii="仿宋_GB2312" w:hAnsi="仿宋_GB2312" w:eastAsia="仿宋_GB2312" w:cs="仿宋_GB2312"/>
                <w:sz w:val="24"/>
                <w:szCs w:val="24"/>
                <w:highlight w:val="none"/>
              </w:rPr>
            </w:pPr>
          </w:p>
        </w:tc>
        <w:tc>
          <w:tcPr>
            <w:tcW w:w="259" w:type="pct"/>
            <w:vMerge w:val="restart"/>
            <w:vAlign w:val="center"/>
          </w:tcPr>
          <w:p w14:paraId="65D810CF">
            <w:pPr>
              <w:spacing w:line="254" w:lineRule="exact"/>
              <w:jc w:val="center"/>
              <w:rPr>
                <w:rFonts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2.构建绿色低碳产业体系</w:t>
            </w:r>
          </w:p>
        </w:tc>
        <w:tc>
          <w:tcPr>
            <w:tcW w:w="2355" w:type="pct"/>
            <w:vAlign w:val="center"/>
          </w:tcPr>
          <w:p w14:paraId="51855445">
            <w:pPr>
              <w:spacing w:line="254" w:lineRule="exact"/>
              <w:jc w:val="left"/>
              <w:rPr>
                <w:rFonts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实施传统产业焕新行动，深入实施“百企技改”工程，推进特钢、有色、建材等重点行业企业节能降碳改造和智能设备更新</w:t>
            </w:r>
            <w:r>
              <w:rPr>
                <w:rFonts w:hint="eastAsia" w:ascii="仿宋_GB2312" w:hAnsi="仿宋_GB2312" w:eastAsia="仿宋_GB2312" w:cs="仿宋_GB2312"/>
                <w:sz w:val="24"/>
                <w:szCs w:val="24"/>
                <w:highlight w:val="none"/>
                <w:lang w:eastAsia="zh-CN"/>
              </w:rPr>
              <w:t>，</w:t>
            </w:r>
            <w:r>
              <w:rPr>
                <w:rFonts w:hint="eastAsia" w:ascii="仿宋_GB2312" w:hAnsi="仿宋_GB2312" w:eastAsia="仿宋_GB2312" w:cs="仿宋_GB2312"/>
                <w:sz w:val="24"/>
                <w:szCs w:val="24"/>
                <w:highlight w:val="none"/>
                <w:lang w:val="en-US" w:eastAsia="zh-CN"/>
              </w:rPr>
              <w:t>实现</w:t>
            </w:r>
            <w:r>
              <w:rPr>
                <w:rFonts w:hint="eastAsia" w:ascii="仿宋_GB2312" w:hAnsi="仿宋_GB2312" w:eastAsia="仿宋_GB2312" w:cs="仿宋_GB2312"/>
                <w:sz w:val="24"/>
                <w:szCs w:val="24"/>
                <w:highlight w:val="none"/>
                <w:lang w:eastAsia="zh-CN"/>
              </w:rPr>
              <w:t>全市工业领域重点行业高耗能企业节能技改全覆盖。</w:t>
            </w:r>
          </w:p>
        </w:tc>
        <w:tc>
          <w:tcPr>
            <w:tcW w:w="627" w:type="pct"/>
            <w:vAlign w:val="center"/>
          </w:tcPr>
          <w:p w14:paraId="2BF09B7D">
            <w:pPr>
              <w:spacing w:line="254" w:lineRule="exact"/>
              <w:jc w:val="center"/>
              <w:rPr>
                <w:rFonts w:hint="default" w:ascii="仿宋_GB2312" w:hAnsi="仿宋_GB2312" w:eastAsia="仿宋_GB2312" w:cs="仿宋_GB2312"/>
                <w:sz w:val="24"/>
                <w:szCs w:val="24"/>
                <w:highlight w:val="none"/>
                <w:lang w:val="en-US" w:eastAsia="zh-CN"/>
              </w:rPr>
            </w:pPr>
            <w:r>
              <w:rPr>
                <w:rFonts w:hint="eastAsia" w:ascii="仿宋_GB2312" w:hAnsi="仿宋_GB2312" w:eastAsia="仿宋_GB2312" w:cs="仿宋_GB2312"/>
                <w:sz w:val="24"/>
                <w:szCs w:val="24"/>
                <w:highlight w:val="none"/>
                <w:lang w:val="en-US" w:eastAsia="zh-CN"/>
              </w:rPr>
              <w:t>2027年</w:t>
            </w:r>
          </w:p>
        </w:tc>
        <w:tc>
          <w:tcPr>
            <w:tcW w:w="680" w:type="pct"/>
            <w:vAlign w:val="center"/>
          </w:tcPr>
          <w:p w14:paraId="2BFCC755">
            <w:pPr>
              <w:spacing w:line="254" w:lineRule="exact"/>
              <w:jc w:val="center"/>
              <w:rPr>
                <w:rFonts w:hint="eastAsia" w:ascii="仿宋_GB2312" w:hAnsi="仿宋_GB2312" w:eastAsia="仿宋_GB2312" w:cs="仿宋_GB2312"/>
                <w:sz w:val="24"/>
                <w:szCs w:val="24"/>
                <w:highlight w:val="none"/>
                <w:lang w:val="en-US" w:eastAsia="zh-CN"/>
              </w:rPr>
            </w:pPr>
            <w:r>
              <w:rPr>
                <w:rFonts w:hint="eastAsia" w:ascii="仿宋_GB2312" w:hAnsi="仿宋_GB2312" w:eastAsia="仿宋_GB2312" w:cs="仿宋_GB2312"/>
                <w:sz w:val="24"/>
                <w:szCs w:val="24"/>
                <w:highlight w:val="none"/>
                <w:lang w:val="en-US" w:eastAsia="zh-CN"/>
              </w:rPr>
              <w:t>市经信局</w:t>
            </w:r>
          </w:p>
        </w:tc>
        <w:tc>
          <w:tcPr>
            <w:tcW w:w="923" w:type="pct"/>
            <w:vAlign w:val="center"/>
          </w:tcPr>
          <w:p w14:paraId="1EC8F568">
            <w:pPr>
              <w:spacing w:line="254" w:lineRule="exact"/>
              <w:jc w:val="center"/>
              <w:rPr>
                <w:rFonts w:hint="default" w:ascii="仿宋_GB2312" w:hAnsi="仿宋_GB2312" w:eastAsia="仿宋_GB2312" w:cs="仿宋_GB2312"/>
                <w:sz w:val="24"/>
                <w:szCs w:val="24"/>
                <w:highlight w:val="none"/>
                <w:lang w:val="en-US"/>
              </w:rPr>
            </w:pPr>
            <w:r>
              <w:rPr>
                <w:rFonts w:hint="eastAsia" w:ascii="仿宋_GB2312" w:hAnsi="仿宋_GB2312" w:eastAsia="仿宋_GB2312" w:cs="仿宋_GB2312"/>
                <w:sz w:val="24"/>
                <w:szCs w:val="24"/>
                <w:highlight w:val="none"/>
                <w:lang w:val="en-US" w:eastAsia="zh-CN"/>
              </w:rPr>
              <w:t>市发改委</w:t>
            </w:r>
          </w:p>
        </w:tc>
      </w:tr>
      <w:tr w14:paraId="60EAC0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6" w:hRule="atLeast"/>
          <w:jc w:val="center"/>
        </w:trPr>
        <w:tc>
          <w:tcPr>
            <w:tcW w:w="153" w:type="pct"/>
            <w:vMerge w:val="continue"/>
            <w:vAlign w:val="center"/>
          </w:tcPr>
          <w:p w14:paraId="3EA66193">
            <w:pPr>
              <w:spacing w:line="254" w:lineRule="exact"/>
              <w:jc w:val="center"/>
              <w:rPr>
                <w:rFonts w:ascii="仿宋_GB2312" w:hAnsi="仿宋_GB2312" w:eastAsia="仿宋_GB2312" w:cs="仿宋_GB2312"/>
                <w:sz w:val="24"/>
                <w:szCs w:val="24"/>
                <w:highlight w:val="none"/>
              </w:rPr>
            </w:pPr>
          </w:p>
        </w:tc>
        <w:tc>
          <w:tcPr>
            <w:tcW w:w="259" w:type="pct"/>
            <w:vMerge w:val="continue"/>
            <w:vAlign w:val="center"/>
          </w:tcPr>
          <w:p w14:paraId="2A38D6AC">
            <w:pPr>
              <w:spacing w:line="254" w:lineRule="exact"/>
              <w:jc w:val="center"/>
              <w:rPr>
                <w:rFonts w:hint="eastAsia" w:ascii="仿宋_GB2312" w:hAnsi="仿宋_GB2312" w:eastAsia="仿宋_GB2312" w:cs="仿宋_GB2312"/>
                <w:sz w:val="24"/>
                <w:szCs w:val="24"/>
                <w:highlight w:val="none"/>
              </w:rPr>
            </w:pPr>
          </w:p>
        </w:tc>
        <w:tc>
          <w:tcPr>
            <w:tcW w:w="2355" w:type="pct"/>
            <w:vAlign w:val="center"/>
          </w:tcPr>
          <w:p w14:paraId="390B97DD">
            <w:pPr>
              <w:spacing w:line="254" w:lineRule="exact"/>
              <w:jc w:val="left"/>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探索开展有色金属、特钢精深加工等重点行业绿色标尺评价。</w:t>
            </w:r>
          </w:p>
        </w:tc>
        <w:tc>
          <w:tcPr>
            <w:tcW w:w="627" w:type="pct"/>
            <w:vAlign w:val="center"/>
          </w:tcPr>
          <w:p w14:paraId="03641E47">
            <w:pPr>
              <w:spacing w:line="254" w:lineRule="exact"/>
              <w:jc w:val="center"/>
              <w:rPr>
                <w:rFonts w:hint="eastAsia" w:ascii="仿宋_GB2312" w:hAnsi="仿宋_GB2312" w:eastAsia="仿宋_GB2312" w:cs="仿宋_GB2312"/>
                <w:sz w:val="24"/>
                <w:szCs w:val="24"/>
                <w:highlight w:val="none"/>
                <w:lang w:val="en-US" w:eastAsia="zh-CN"/>
              </w:rPr>
            </w:pPr>
            <w:r>
              <w:rPr>
                <w:rFonts w:hint="eastAsia" w:ascii="仿宋_GB2312" w:hAnsi="仿宋_GB2312" w:eastAsia="仿宋_GB2312" w:cs="仿宋_GB2312"/>
                <w:sz w:val="24"/>
                <w:szCs w:val="24"/>
                <w:highlight w:val="none"/>
                <w:lang w:val="en-US" w:eastAsia="zh-CN"/>
              </w:rPr>
              <w:t>2030年</w:t>
            </w:r>
          </w:p>
        </w:tc>
        <w:tc>
          <w:tcPr>
            <w:tcW w:w="680" w:type="pct"/>
            <w:vAlign w:val="center"/>
          </w:tcPr>
          <w:p w14:paraId="09117E72">
            <w:pPr>
              <w:spacing w:line="254" w:lineRule="exact"/>
              <w:jc w:val="center"/>
              <w:rPr>
                <w:rFonts w:hint="eastAsia" w:ascii="仿宋_GB2312" w:hAnsi="仿宋_GB2312" w:eastAsia="仿宋_GB2312" w:cs="仿宋_GB2312"/>
                <w:sz w:val="24"/>
                <w:szCs w:val="24"/>
                <w:highlight w:val="none"/>
                <w:lang w:val="en-US" w:eastAsia="zh-CN"/>
              </w:rPr>
            </w:pPr>
            <w:r>
              <w:rPr>
                <w:rFonts w:hint="eastAsia" w:ascii="仿宋_GB2312" w:hAnsi="仿宋_GB2312" w:eastAsia="仿宋_GB2312" w:cs="仿宋_GB2312"/>
                <w:sz w:val="24"/>
                <w:szCs w:val="24"/>
                <w:highlight w:val="none"/>
                <w:lang w:val="en-US" w:eastAsia="zh-CN"/>
              </w:rPr>
              <w:t>市生态环境局</w:t>
            </w:r>
          </w:p>
        </w:tc>
        <w:tc>
          <w:tcPr>
            <w:tcW w:w="923" w:type="pct"/>
            <w:vAlign w:val="center"/>
          </w:tcPr>
          <w:p w14:paraId="2B9BDEA5">
            <w:pPr>
              <w:spacing w:line="254" w:lineRule="exact"/>
              <w:jc w:val="center"/>
              <w:rPr>
                <w:rFonts w:hint="eastAsia" w:ascii="仿宋_GB2312" w:hAnsi="仿宋_GB2312" w:eastAsia="仿宋_GB2312" w:cs="仿宋_GB2312"/>
                <w:sz w:val="24"/>
                <w:szCs w:val="24"/>
                <w:highlight w:val="none"/>
                <w:lang w:val="en-US" w:eastAsia="zh-CN"/>
              </w:rPr>
            </w:pPr>
            <w:r>
              <w:rPr>
                <w:rFonts w:hint="eastAsia" w:ascii="仿宋_GB2312" w:hAnsi="仿宋_GB2312" w:eastAsia="仿宋_GB2312" w:cs="仿宋_GB2312"/>
                <w:sz w:val="24"/>
                <w:szCs w:val="24"/>
                <w:highlight w:val="none"/>
                <w:lang w:val="en-US" w:eastAsia="zh-CN"/>
              </w:rPr>
              <w:t>市经信局</w:t>
            </w:r>
          </w:p>
        </w:tc>
      </w:tr>
      <w:tr w14:paraId="5E13FB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3" w:type="pct"/>
            <w:vMerge w:val="continue"/>
            <w:vAlign w:val="center"/>
          </w:tcPr>
          <w:p w14:paraId="17A3F3DE">
            <w:pPr>
              <w:spacing w:line="254" w:lineRule="exact"/>
              <w:jc w:val="center"/>
              <w:rPr>
                <w:rFonts w:ascii="仿宋_GB2312" w:hAnsi="仿宋_GB2312" w:eastAsia="仿宋_GB2312" w:cs="仿宋_GB2312"/>
                <w:sz w:val="24"/>
                <w:szCs w:val="24"/>
                <w:highlight w:val="none"/>
              </w:rPr>
            </w:pPr>
          </w:p>
        </w:tc>
        <w:tc>
          <w:tcPr>
            <w:tcW w:w="259" w:type="pct"/>
            <w:vMerge w:val="continue"/>
            <w:vAlign w:val="center"/>
          </w:tcPr>
          <w:p w14:paraId="4029B0B1">
            <w:pPr>
              <w:spacing w:line="254" w:lineRule="exact"/>
              <w:jc w:val="center"/>
              <w:rPr>
                <w:rFonts w:hint="eastAsia" w:ascii="仿宋_GB2312" w:hAnsi="仿宋_GB2312" w:eastAsia="仿宋_GB2312" w:cs="仿宋_GB2312"/>
                <w:sz w:val="24"/>
                <w:szCs w:val="24"/>
                <w:highlight w:val="none"/>
              </w:rPr>
            </w:pPr>
          </w:p>
        </w:tc>
        <w:tc>
          <w:tcPr>
            <w:tcW w:w="2355" w:type="pct"/>
            <w:vAlign w:val="center"/>
          </w:tcPr>
          <w:p w14:paraId="7B6821D4">
            <w:pPr>
              <w:spacing w:line="254" w:lineRule="exact"/>
              <w:jc w:val="left"/>
              <w:rPr>
                <w:rFonts w:hint="default" w:ascii="仿宋_GB2312" w:hAnsi="仿宋_GB2312" w:eastAsia="仿宋_GB2312" w:cs="仿宋_GB2312"/>
                <w:sz w:val="24"/>
                <w:szCs w:val="24"/>
                <w:highlight w:val="none"/>
                <w:lang w:val="en-US" w:eastAsia="zh-CN"/>
              </w:rPr>
            </w:pPr>
            <w:r>
              <w:rPr>
                <w:rFonts w:hint="eastAsia" w:ascii="仿宋_GB2312" w:hAnsi="仿宋_GB2312" w:eastAsia="仿宋_GB2312" w:cs="仿宋_GB2312"/>
                <w:sz w:val="24"/>
                <w:szCs w:val="24"/>
                <w:highlight w:val="none"/>
              </w:rPr>
              <w:t>实施绿色低碳产业培育工程，大力推动光电子信息、新能源与智能网联汽车、高端装备等新兴产业聚链成群</w:t>
            </w:r>
            <w:r>
              <w:rPr>
                <w:rFonts w:hint="eastAsia" w:ascii="仿宋_GB2312" w:hAnsi="仿宋_GB2312" w:eastAsia="仿宋_GB2312" w:cs="仿宋_GB2312"/>
                <w:sz w:val="24"/>
                <w:szCs w:val="24"/>
                <w:highlight w:val="none"/>
                <w:lang w:eastAsia="zh-CN"/>
              </w:rPr>
              <w:t>。</w:t>
            </w:r>
            <w:r>
              <w:rPr>
                <w:rFonts w:hint="eastAsia" w:ascii="仿宋_GB2312" w:hAnsi="仿宋_GB2312" w:eastAsia="仿宋_GB2312" w:cs="仿宋_GB2312"/>
                <w:sz w:val="24"/>
                <w:szCs w:val="24"/>
                <w:highlight w:val="none"/>
              </w:rPr>
              <w:t>前瞻布局人工智能、智能机器人等未来产业</w:t>
            </w:r>
            <w:r>
              <w:rPr>
                <w:rFonts w:hint="eastAsia" w:ascii="仿宋_GB2312" w:hAnsi="仿宋_GB2312" w:eastAsia="仿宋_GB2312" w:cs="仿宋_GB2312"/>
                <w:sz w:val="24"/>
                <w:szCs w:val="24"/>
                <w:highlight w:val="none"/>
                <w:lang w:eastAsia="zh-CN"/>
              </w:rPr>
              <w:t>，积极创建大冶湖高新区氢能未来产业先导区</w:t>
            </w:r>
            <w:r>
              <w:rPr>
                <w:rFonts w:hint="eastAsia" w:ascii="仿宋_GB2312" w:hAnsi="仿宋_GB2312" w:eastAsia="仿宋_GB2312" w:cs="仿宋_GB2312"/>
                <w:sz w:val="24"/>
                <w:szCs w:val="24"/>
                <w:highlight w:val="none"/>
              </w:rPr>
              <w:t>。</w:t>
            </w:r>
            <w:r>
              <w:rPr>
                <w:rFonts w:hint="eastAsia" w:ascii="仿宋_GB2312" w:hAnsi="仿宋_GB2312" w:eastAsia="仿宋_GB2312" w:cs="仿宋_GB2312"/>
                <w:sz w:val="24"/>
                <w:szCs w:val="24"/>
                <w:highlight w:val="none"/>
                <w:lang w:val="en-US" w:eastAsia="zh-CN"/>
              </w:rPr>
              <w:t>到2030年，全市新兴产业规模和未来产业总规模力争超过2200亿元。</w:t>
            </w:r>
          </w:p>
        </w:tc>
        <w:tc>
          <w:tcPr>
            <w:tcW w:w="627" w:type="pct"/>
            <w:vAlign w:val="center"/>
          </w:tcPr>
          <w:p w14:paraId="50FBD3C7">
            <w:pPr>
              <w:spacing w:line="254" w:lineRule="exact"/>
              <w:jc w:val="center"/>
              <w:rPr>
                <w:rFonts w:hint="default" w:ascii="仿宋_GB2312" w:hAnsi="仿宋_GB2312" w:eastAsia="仿宋_GB2312" w:cs="仿宋_GB2312"/>
                <w:sz w:val="24"/>
                <w:szCs w:val="24"/>
                <w:highlight w:val="none"/>
                <w:lang w:val="en-US" w:eastAsia="zh-CN"/>
              </w:rPr>
            </w:pPr>
            <w:r>
              <w:rPr>
                <w:rFonts w:hint="eastAsia" w:ascii="仿宋_GB2312" w:hAnsi="仿宋_GB2312" w:eastAsia="仿宋_GB2312" w:cs="仿宋_GB2312"/>
                <w:sz w:val="24"/>
                <w:szCs w:val="24"/>
                <w:highlight w:val="none"/>
                <w:lang w:val="en-US" w:eastAsia="zh-CN"/>
              </w:rPr>
              <w:t>2030年</w:t>
            </w:r>
          </w:p>
        </w:tc>
        <w:tc>
          <w:tcPr>
            <w:tcW w:w="680" w:type="pct"/>
            <w:vAlign w:val="center"/>
          </w:tcPr>
          <w:p w14:paraId="1480B83A">
            <w:pPr>
              <w:spacing w:line="254" w:lineRule="exact"/>
              <w:jc w:val="center"/>
              <w:rPr>
                <w:rFonts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lang w:val="en-US" w:eastAsia="zh-CN"/>
              </w:rPr>
              <w:t>市经信局</w:t>
            </w:r>
          </w:p>
        </w:tc>
        <w:tc>
          <w:tcPr>
            <w:tcW w:w="923" w:type="pct"/>
            <w:vAlign w:val="center"/>
          </w:tcPr>
          <w:p w14:paraId="2C276511">
            <w:pPr>
              <w:spacing w:line="254" w:lineRule="exact"/>
              <w:jc w:val="center"/>
              <w:rPr>
                <w:rFonts w:hint="default" w:ascii="仿宋_GB2312" w:hAnsi="仿宋_GB2312" w:eastAsia="仿宋_GB2312" w:cs="仿宋_GB2312"/>
                <w:sz w:val="24"/>
                <w:szCs w:val="24"/>
                <w:highlight w:val="none"/>
                <w:lang w:val="en-US" w:eastAsia="zh-CN"/>
              </w:rPr>
            </w:pPr>
            <w:r>
              <w:rPr>
                <w:rFonts w:hint="eastAsia" w:ascii="仿宋_GB2312" w:hAnsi="仿宋_GB2312" w:eastAsia="仿宋_GB2312" w:cs="仿宋_GB2312"/>
                <w:sz w:val="24"/>
                <w:szCs w:val="24"/>
                <w:highlight w:val="none"/>
                <w:lang w:val="en-US" w:eastAsia="zh-CN"/>
              </w:rPr>
              <w:t>市发改委</w:t>
            </w:r>
          </w:p>
        </w:tc>
      </w:tr>
      <w:tr w14:paraId="1EF1E5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53" w:type="pct"/>
            <w:vMerge w:val="continue"/>
            <w:vAlign w:val="center"/>
          </w:tcPr>
          <w:p w14:paraId="773F2C5E">
            <w:pPr>
              <w:spacing w:line="254" w:lineRule="exact"/>
              <w:jc w:val="center"/>
              <w:rPr>
                <w:rFonts w:ascii="仿宋_GB2312" w:hAnsi="仿宋_GB2312" w:eastAsia="仿宋_GB2312" w:cs="仿宋_GB2312"/>
                <w:sz w:val="24"/>
                <w:szCs w:val="24"/>
                <w:highlight w:val="none"/>
              </w:rPr>
            </w:pPr>
          </w:p>
        </w:tc>
        <w:tc>
          <w:tcPr>
            <w:tcW w:w="259" w:type="pct"/>
            <w:vMerge w:val="continue"/>
            <w:vAlign w:val="center"/>
          </w:tcPr>
          <w:p w14:paraId="3E5AFE70">
            <w:pPr>
              <w:spacing w:line="254" w:lineRule="exact"/>
              <w:jc w:val="center"/>
              <w:rPr>
                <w:rFonts w:hint="eastAsia" w:ascii="仿宋_GB2312" w:hAnsi="仿宋_GB2312" w:eastAsia="仿宋_GB2312" w:cs="仿宋_GB2312"/>
                <w:sz w:val="24"/>
                <w:szCs w:val="24"/>
                <w:highlight w:val="none"/>
              </w:rPr>
            </w:pPr>
          </w:p>
        </w:tc>
        <w:tc>
          <w:tcPr>
            <w:tcW w:w="2355" w:type="pct"/>
            <w:vAlign w:val="center"/>
          </w:tcPr>
          <w:p w14:paraId="44CB8710">
            <w:pPr>
              <w:spacing w:line="254" w:lineRule="exact"/>
              <w:jc w:val="left"/>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加快绿色服务业转型，发展绿色物流。</w:t>
            </w:r>
          </w:p>
        </w:tc>
        <w:tc>
          <w:tcPr>
            <w:tcW w:w="627" w:type="pct"/>
            <w:vAlign w:val="center"/>
          </w:tcPr>
          <w:p w14:paraId="69B4C762">
            <w:pPr>
              <w:spacing w:line="254" w:lineRule="exact"/>
              <w:jc w:val="center"/>
              <w:rPr>
                <w:rFonts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持续推进</w:t>
            </w:r>
          </w:p>
        </w:tc>
        <w:tc>
          <w:tcPr>
            <w:tcW w:w="680" w:type="pct"/>
            <w:vAlign w:val="center"/>
          </w:tcPr>
          <w:p w14:paraId="0FE7AD57">
            <w:pPr>
              <w:spacing w:line="254" w:lineRule="exact"/>
              <w:jc w:val="center"/>
              <w:rPr>
                <w:rFonts w:hint="default" w:ascii="仿宋_GB2312" w:hAnsi="仿宋_GB2312" w:eastAsia="仿宋_GB2312" w:cs="仿宋_GB2312"/>
                <w:sz w:val="24"/>
                <w:szCs w:val="24"/>
                <w:highlight w:val="none"/>
                <w:lang w:val="en-US" w:eastAsia="zh-CN"/>
              </w:rPr>
            </w:pPr>
            <w:r>
              <w:rPr>
                <w:rFonts w:hint="eastAsia" w:ascii="仿宋_GB2312" w:hAnsi="仿宋_GB2312" w:eastAsia="仿宋_GB2312" w:cs="仿宋_GB2312"/>
                <w:sz w:val="24"/>
                <w:szCs w:val="24"/>
                <w:highlight w:val="none"/>
                <w:lang w:val="en-US" w:eastAsia="zh-CN"/>
              </w:rPr>
              <w:t>市发改委、市交通运输局</w:t>
            </w:r>
          </w:p>
        </w:tc>
        <w:tc>
          <w:tcPr>
            <w:tcW w:w="923" w:type="pct"/>
            <w:vAlign w:val="center"/>
          </w:tcPr>
          <w:p w14:paraId="5480A4E8">
            <w:pPr>
              <w:spacing w:line="254" w:lineRule="exact"/>
              <w:jc w:val="center"/>
              <w:rPr>
                <w:rFonts w:hint="default" w:ascii="仿宋_GB2312" w:hAnsi="仿宋_GB2312" w:eastAsia="仿宋_GB2312" w:cs="仿宋_GB2312"/>
                <w:sz w:val="24"/>
                <w:szCs w:val="24"/>
                <w:highlight w:val="none"/>
                <w:lang w:val="en-US" w:eastAsia="zh-CN"/>
              </w:rPr>
            </w:pPr>
            <w:r>
              <w:rPr>
                <w:rFonts w:hint="eastAsia" w:ascii="仿宋_GB2312" w:hAnsi="仿宋_GB2312" w:eastAsia="仿宋_GB2312" w:cs="仿宋_GB2312"/>
                <w:sz w:val="24"/>
                <w:szCs w:val="24"/>
                <w:highlight w:val="none"/>
                <w:lang w:val="en-US" w:eastAsia="zh-CN"/>
              </w:rPr>
              <w:t>市商务局、市港口物流发展中心</w:t>
            </w:r>
          </w:p>
        </w:tc>
      </w:tr>
      <w:tr w14:paraId="6E9ED2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3" w:type="pct"/>
            <w:vMerge w:val="continue"/>
            <w:vAlign w:val="center"/>
          </w:tcPr>
          <w:p w14:paraId="4604248B">
            <w:pPr>
              <w:spacing w:line="254" w:lineRule="exact"/>
              <w:jc w:val="center"/>
              <w:rPr>
                <w:rFonts w:ascii="仿宋_GB2312" w:hAnsi="仿宋_GB2312" w:eastAsia="仿宋_GB2312" w:cs="仿宋_GB2312"/>
                <w:sz w:val="24"/>
                <w:szCs w:val="24"/>
                <w:highlight w:val="none"/>
              </w:rPr>
            </w:pPr>
          </w:p>
        </w:tc>
        <w:tc>
          <w:tcPr>
            <w:tcW w:w="259" w:type="pct"/>
            <w:vMerge w:val="continue"/>
            <w:vAlign w:val="center"/>
          </w:tcPr>
          <w:p w14:paraId="50D661FB">
            <w:pPr>
              <w:spacing w:line="254" w:lineRule="exact"/>
              <w:jc w:val="center"/>
              <w:rPr>
                <w:rFonts w:hint="eastAsia" w:ascii="仿宋_GB2312" w:hAnsi="仿宋_GB2312" w:eastAsia="仿宋_GB2312" w:cs="仿宋_GB2312"/>
                <w:sz w:val="24"/>
                <w:szCs w:val="24"/>
                <w:highlight w:val="none"/>
              </w:rPr>
            </w:pPr>
          </w:p>
        </w:tc>
        <w:tc>
          <w:tcPr>
            <w:tcW w:w="2355" w:type="pct"/>
            <w:vAlign w:val="center"/>
          </w:tcPr>
          <w:p w14:paraId="28346249">
            <w:pPr>
              <w:spacing w:line="254" w:lineRule="exact"/>
              <w:jc w:val="left"/>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培育壮大节能环保产业，重点支持废钢铁、废铜铝等再生资源综合利用产业链向高附加值环节延伸，加快建设大冶湖高新区节能装备产业集群，深化大冶有色城市矿产示范基地建设。</w:t>
            </w:r>
          </w:p>
        </w:tc>
        <w:tc>
          <w:tcPr>
            <w:tcW w:w="627" w:type="pct"/>
            <w:vAlign w:val="center"/>
          </w:tcPr>
          <w:p w14:paraId="263A0B3B">
            <w:pPr>
              <w:spacing w:line="254" w:lineRule="exact"/>
              <w:jc w:val="center"/>
              <w:rPr>
                <w:rFonts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lang w:val="en-US" w:eastAsia="zh-CN"/>
              </w:rPr>
              <w:t>2030年</w:t>
            </w:r>
          </w:p>
        </w:tc>
        <w:tc>
          <w:tcPr>
            <w:tcW w:w="680" w:type="pct"/>
            <w:vAlign w:val="center"/>
          </w:tcPr>
          <w:p w14:paraId="2985349D">
            <w:pPr>
              <w:spacing w:line="254" w:lineRule="exact"/>
              <w:jc w:val="center"/>
              <w:rPr>
                <w:rFonts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lang w:val="en-US" w:eastAsia="zh-CN"/>
              </w:rPr>
              <w:t>市发改委</w:t>
            </w:r>
          </w:p>
        </w:tc>
        <w:tc>
          <w:tcPr>
            <w:tcW w:w="923" w:type="pct"/>
            <w:vAlign w:val="center"/>
          </w:tcPr>
          <w:p w14:paraId="12F5FDE6">
            <w:pPr>
              <w:spacing w:line="254" w:lineRule="exact"/>
              <w:jc w:val="center"/>
              <w:rPr>
                <w:rFonts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lang w:val="en-US" w:eastAsia="zh-CN"/>
              </w:rPr>
              <w:t>市经信局、市生态环境局</w:t>
            </w:r>
          </w:p>
        </w:tc>
      </w:tr>
      <w:tr w14:paraId="72A359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3" w:type="pct"/>
            <w:vMerge w:val="continue"/>
            <w:vAlign w:val="center"/>
          </w:tcPr>
          <w:p w14:paraId="7358256F">
            <w:pPr>
              <w:spacing w:line="254" w:lineRule="exact"/>
              <w:jc w:val="center"/>
              <w:rPr>
                <w:rFonts w:ascii="仿宋_GB2312" w:hAnsi="仿宋_GB2312" w:eastAsia="仿宋_GB2312" w:cs="仿宋_GB2312"/>
                <w:sz w:val="24"/>
                <w:szCs w:val="24"/>
                <w:highlight w:val="none"/>
              </w:rPr>
            </w:pPr>
          </w:p>
        </w:tc>
        <w:tc>
          <w:tcPr>
            <w:tcW w:w="259" w:type="pct"/>
            <w:vMerge w:val="continue"/>
            <w:vAlign w:val="center"/>
          </w:tcPr>
          <w:p w14:paraId="39E0F3AE">
            <w:pPr>
              <w:spacing w:line="254" w:lineRule="exact"/>
              <w:jc w:val="center"/>
              <w:rPr>
                <w:rFonts w:ascii="仿宋_GB2312" w:hAnsi="仿宋_GB2312" w:eastAsia="仿宋_GB2312" w:cs="仿宋_GB2312"/>
                <w:sz w:val="24"/>
                <w:szCs w:val="24"/>
                <w:highlight w:val="none"/>
              </w:rPr>
            </w:pPr>
          </w:p>
        </w:tc>
        <w:tc>
          <w:tcPr>
            <w:tcW w:w="2355" w:type="pct"/>
            <w:vAlign w:val="center"/>
          </w:tcPr>
          <w:p w14:paraId="46C185E8">
            <w:pPr>
              <w:spacing w:line="254" w:lineRule="exact"/>
              <w:jc w:val="left"/>
              <w:rPr>
                <w:rFonts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完善绿色制造体系，支持大冶湖高新区、开发区·铁山区建设国家级绿色工业园区、生态工业园区</w:t>
            </w:r>
            <w:r>
              <w:rPr>
                <w:rFonts w:hint="eastAsia" w:ascii="仿宋_GB2312" w:hAnsi="仿宋_GB2312" w:eastAsia="仿宋_GB2312" w:cs="仿宋_GB2312"/>
                <w:sz w:val="24"/>
                <w:szCs w:val="24"/>
                <w:highlight w:val="none"/>
                <w:lang w:eastAsia="zh-CN"/>
              </w:rPr>
              <w:t>。</w:t>
            </w:r>
          </w:p>
        </w:tc>
        <w:tc>
          <w:tcPr>
            <w:tcW w:w="627" w:type="pct"/>
            <w:vAlign w:val="center"/>
          </w:tcPr>
          <w:p w14:paraId="5EC1883B">
            <w:pPr>
              <w:spacing w:line="254" w:lineRule="exact"/>
              <w:jc w:val="center"/>
              <w:rPr>
                <w:rFonts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lang w:val="en-US" w:eastAsia="zh-CN"/>
              </w:rPr>
              <w:t>2030年</w:t>
            </w:r>
          </w:p>
        </w:tc>
        <w:tc>
          <w:tcPr>
            <w:tcW w:w="680" w:type="pct"/>
            <w:vAlign w:val="center"/>
          </w:tcPr>
          <w:p w14:paraId="3FD67783">
            <w:pPr>
              <w:spacing w:line="254" w:lineRule="exact"/>
              <w:jc w:val="center"/>
              <w:rPr>
                <w:rFonts w:hint="default" w:ascii="仿宋_GB2312" w:hAnsi="仿宋_GB2312" w:eastAsia="仿宋_GB2312" w:cs="仿宋_GB2312"/>
                <w:sz w:val="24"/>
                <w:szCs w:val="24"/>
                <w:highlight w:val="none"/>
                <w:lang w:val="en-US" w:eastAsia="zh-CN"/>
              </w:rPr>
            </w:pPr>
            <w:r>
              <w:rPr>
                <w:rFonts w:hint="eastAsia" w:ascii="仿宋_GB2312" w:hAnsi="仿宋_GB2312" w:eastAsia="仿宋_GB2312" w:cs="仿宋_GB2312"/>
                <w:sz w:val="24"/>
                <w:szCs w:val="24"/>
                <w:highlight w:val="none"/>
                <w:lang w:val="en-US" w:eastAsia="zh-CN"/>
              </w:rPr>
              <w:t>市经信局</w:t>
            </w:r>
          </w:p>
        </w:tc>
        <w:tc>
          <w:tcPr>
            <w:tcW w:w="923" w:type="pct"/>
            <w:vAlign w:val="center"/>
          </w:tcPr>
          <w:p w14:paraId="674EF822">
            <w:pPr>
              <w:spacing w:line="254" w:lineRule="exact"/>
              <w:jc w:val="center"/>
              <w:rPr>
                <w:rFonts w:hint="default" w:ascii="仿宋_GB2312" w:hAnsi="仿宋_GB2312" w:eastAsia="仿宋_GB2312" w:cs="仿宋_GB2312"/>
                <w:sz w:val="24"/>
                <w:szCs w:val="24"/>
                <w:highlight w:val="none"/>
                <w:lang w:val="en-US" w:eastAsia="zh-CN"/>
              </w:rPr>
            </w:pPr>
            <w:r>
              <w:rPr>
                <w:rFonts w:hint="eastAsia" w:ascii="仿宋_GB2312" w:hAnsi="仿宋_GB2312" w:eastAsia="仿宋_GB2312" w:cs="仿宋_GB2312"/>
                <w:sz w:val="24"/>
                <w:szCs w:val="24"/>
                <w:highlight w:val="none"/>
                <w:lang w:val="en-US" w:eastAsia="zh-CN"/>
              </w:rPr>
              <w:t>市生态环境局、市商务局</w:t>
            </w:r>
          </w:p>
        </w:tc>
      </w:tr>
      <w:tr w14:paraId="2E70DF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3" w:type="pct"/>
            <w:vMerge w:val="continue"/>
            <w:vAlign w:val="center"/>
          </w:tcPr>
          <w:p w14:paraId="1332D47C">
            <w:pPr>
              <w:spacing w:line="254" w:lineRule="exact"/>
              <w:jc w:val="center"/>
              <w:rPr>
                <w:rFonts w:ascii="仿宋_GB2312" w:hAnsi="仿宋_GB2312" w:eastAsia="仿宋_GB2312" w:cs="仿宋_GB2312"/>
                <w:sz w:val="24"/>
                <w:szCs w:val="24"/>
                <w:highlight w:val="none"/>
              </w:rPr>
            </w:pPr>
          </w:p>
        </w:tc>
        <w:tc>
          <w:tcPr>
            <w:tcW w:w="259" w:type="pct"/>
            <w:vMerge w:val="continue"/>
            <w:vAlign w:val="center"/>
          </w:tcPr>
          <w:p w14:paraId="442CD3F5">
            <w:pPr>
              <w:spacing w:line="254" w:lineRule="exact"/>
              <w:jc w:val="center"/>
              <w:rPr>
                <w:rFonts w:ascii="仿宋_GB2312" w:hAnsi="仿宋_GB2312" w:eastAsia="仿宋_GB2312" w:cs="仿宋_GB2312"/>
                <w:sz w:val="24"/>
                <w:szCs w:val="24"/>
                <w:highlight w:val="none"/>
              </w:rPr>
            </w:pPr>
          </w:p>
        </w:tc>
        <w:tc>
          <w:tcPr>
            <w:tcW w:w="2355" w:type="pct"/>
            <w:vAlign w:val="center"/>
          </w:tcPr>
          <w:p w14:paraId="2A424864">
            <w:pPr>
              <w:spacing w:line="254" w:lineRule="exact"/>
              <w:jc w:val="left"/>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支持黄石新港（物流）工业园区建设零碳园区，积极开展零碳工厂、绿色工厂和绿色供应链建设。</w:t>
            </w:r>
          </w:p>
        </w:tc>
        <w:tc>
          <w:tcPr>
            <w:tcW w:w="627" w:type="pct"/>
            <w:vAlign w:val="center"/>
          </w:tcPr>
          <w:p w14:paraId="2B4688D7">
            <w:pPr>
              <w:spacing w:line="254" w:lineRule="exact"/>
              <w:jc w:val="center"/>
              <w:rPr>
                <w:rFonts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lang w:val="en-US" w:eastAsia="zh-CN"/>
              </w:rPr>
              <w:t>2030年</w:t>
            </w:r>
          </w:p>
        </w:tc>
        <w:tc>
          <w:tcPr>
            <w:tcW w:w="680" w:type="pct"/>
            <w:vAlign w:val="center"/>
          </w:tcPr>
          <w:p w14:paraId="11F0EFED">
            <w:pPr>
              <w:spacing w:line="254" w:lineRule="exact"/>
              <w:jc w:val="center"/>
              <w:rPr>
                <w:rFonts w:hint="default" w:ascii="仿宋_GB2312" w:hAnsi="仿宋_GB2312" w:eastAsia="仿宋_GB2312" w:cs="仿宋_GB2312"/>
                <w:sz w:val="24"/>
                <w:szCs w:val="24"/>
                <w:highlight w:val="none"/>
                <w:lang w:val="en-US" w:eastAsia="zh-CN"/>
              </w:rPr>
            </w:pPr>
            <w:r>
              <w:rPr>
                <w:rFonts w:hint="eastAsia" w:ascii="仿宋_GB2312" w:hAnsi="仿宋_GB2312" w:eastAsia="仿宋_GB2312" w:cs="仿宋_GB2312"/>
                <w:sz w:val="24"/>
                <w:szCs w:val="24"/>
                <w:highlight w:val="none"/>
                <w:lang w:val="en-US" w:eastAsia="zh-CN"/>
              </w:rPr>
              <w:t>市发改委、市生态环境局、市经信局</w:t>
            </w:r>
          </w:p>
        </w:tc>
        <w:tc>
          <w:tcPr>
            <w:tcW w:w="923" w:type="pct"/>
            <w:vAlign w:val="center"/>
          </w:tcPr>
          <w:p w14:paraId="47B423B7">
            <w:pPr>
              <w:spacing w:line="254" w:lineRule="exact"/>
              <w:jc w:val="center"/>
              <w:rPr>
                <w:rFonts w:hint="default" w:ascii="仿宋_GB2312" w:hAnsi="仿宋_GB2312" w:eastAsia="仿宋_GB2312" w:cs="仿宋_GB2312"/>
                <w:sz w:val="24"/>
                <w:szCs w:val="24"/>
                <w:highlight w:val="none"/>
                <w:lang w:val="en-US" w:eastAsia="zh-CN"/>
              </w:rPr>
            </w:pPr>
            <w:r>
              <w:rPr>
                <w:rFonts w:hint="eastAsia" w:ascii="仿宋_GB2312" w:hAnsi="仿宋_GB2312" w:eastAsia="仿宋_GB2312" w:cs="仿宋_GB2312"/>
                <w:sz w:val="24"/>
                <w:szCs w:val="24"/>
                <w:highlight w:val="none"/>
                <w:lang w:val="en-US" w:eastAsia="zh-CN"/>
              </w:rPr>
              <w:t>市交通运输局、市商务局</w:t>
            </w:r>
          </w:p>
        </w:tc>
      </w:tr>
      <w:tr w14:paraId="0B85D2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53" w:type="pct"/>
            <w:vMerge w:val="continue"/>
            <w:vAlign w:val="center"/>
          </w:tcPr>
          <w:p w14:paraId="04F339AA">
            <w:pPr>
              <w:spacing w:line="254" w:lineRule="exact"/>
              <w:jc w:val="center"/>
              <w:rPr>
                <w:rFonts w:ascii="仿宋_GB2312" w:hAnsi="仿宋_GB2312" w:eastAsia="仿宋_GB2312" w:cs="仿宋_GB2312"/>
                <w:sz w:val="24"/>
                <w:szCs w:val="24"/>
                <w:highlight w:val="none"/>
              </w:rPr>
            </w:pPr>
          </w:p>
        </w:tc>
        <w:tc>
          <w:tcPr>
            <w:tcW w:w="259" w:type="pct"/>
            <w:vMerge w:val="restart"/>
            <w:vAlign w:val="center"/>
          </w:tcPr>
          <w:p w14:paraId="0AAED986">
            <w:pPr>
              <w:spacing w:line="254" w:lineRule="exact"/>
              <w:jc w:val="center"/>
              <w:rPr>
                <w:rFonts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lang w:val="en-US" w:eastAsia="zh-CN"/>
              </w:rPr>
              <w:t>3.</w:t>
            </w:r>
            <w:r>
              <w:rPr>
                <w:rFonts w:hint="eastAsia" w:ascii="仿宋_GB2312" w:hAnsi="仿宋_GB2312" w:eastAsia="仿宋_GB2312" w:cs="仿宋_GB2312"/>
                <w:sz w:val="24"/>
                <w:szCs w:val="24"/>
                <w:highlight w:val="none"/>
              </w:rPr>
              <w:t>推行绿色生活方式</w:t>
            </w:r>
          </w:p>
        </w:tc>
        <w:tc>
          <w:tcPr>
            <w:tcW w:w="2355" w:type="pct"/>
            <w:vAlign w:val="center"/>
          </w:tcPr>
          <w:p w14:paraId="096FD6BE">
            <w:pPr>
              <w:spacing w:line="254" w:lineRule="exact"/>
              <w:jc w:val="left"/>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优先发展城市公共交通，完善“快-干-支-微”多层次城市公共交通网络，强化慢行交通与城市公共交通衔接，鼓励绿色出行。实施公共领域车辆电动化替代，推动交通与能源基础设施一体化，统筹布局加氢站、新能源重卡超充站、换电站、充电桩等设施建设。</w:t>
            </w:r>
          </w:p>
        </w:tc>
        <w:tc>
          <w:tcPr>
            <w:tcW w:w="627" w:type="pct"/>
            <w:vAlign w:val="center"/>
          </w:tcPr>
          <w:p w14:paraId="09065D0B">
            <w:pPr>
              <w:spacing w:line="254" w:lineRule="exact"/>
              <w:jc w:val="center"/>
              <w:rPr>
                <w:rFonts w:hint="default" w:ascii="仿宋_GB2312" w:hAnsi="仿宋_GB2312" w:eastAsia="仿宋_GB2312" w:cs="仿宋_GB2312"/>
                <w:sz w:val="24"/>
                <w:szCs w:val="24"/>
                <w:highlight w:val="none"/>
                <w:lang w:val="en-US" w:eastAsia="zh-CN"/>
              </w:rPr>
            </w:pPr>
            <w:r>
              <w:rPr>
                <w:rFonts w:hint="eastAsia" w:ascii="仿宋_GB2312" w:hAnsi="仿宋_GB2312" w:eastAsia="仿宋_GB2312" w:cs="仿宋_GB2312"/>
                <w:sz w:val="24"/>
                <w:szCs w:val="24"/>
                <w:highlight w:val="none"/>
                <w:lang w:val="en-US" w:eastAsia="zh-CN"/>
              </w:rPr>
              <w:t>2030年</w:t>
            </w:r>
          </w:p>
        </w:tc>
        <w:tc>
          <w:tcPr>
            <w:tcW w:w="680" w:type="pct"/>
            <w:vAlign w:val="center"/>
          </w:tcPr>
          <w:p w14:paraId="08D78A16">
            <w:pPr>
              <w:spacing w:line="254" w:lineRule="exact"/>
              <w:jc w:val="center"/>
              <w:rPr>
                <w:rFonts w:hint="default" w:ascii="仿宋_GB2312" w:hAnsi="仿宋_GB2312" w:eastAsia="仿宋_GB2312" w:cs="仿宋_GB2312"/>
                <w:sz w:val="24"/>
                <w:szCs w:val="24"/>
                <w:highlight w:val="none"/>
                <w:lang w:val="en-US" w:eastAsia="zh-CN"/>
              </w:rPr>
            </w:pPr>
            <w:r>
              <w:rPr>
                <w:rFonts w:hint="eastAsia" w:ascii="仿宋_GB2312" w:hAnsi="仿宋_GB2312" w:eastAsia="仿宋_GB2312" w:cs="仿宋_GB2312"/>
                <w:sz w:val="24"/>
                <w:szCs w:val="24"/>
                <w:highlight w:val="none"/>
                <w:lang w:val="en-US" w:eastAsia="zh-CN"/>
              </w:rPr>
              <w:t>市交通运输局、市城管委</w:t>
            </w:r>
          </w:p>
        </w:tc>
        <w:tc>
          <w:tcPr>
            <w:tcW w:w="923" w:type="pct"/>
            <w:vAlign w:val="center"/>
          </w:tcPr>
          <w:p w14:paraId="3FAC99AA">
            <w:pPr>
              <w:spacing w:line="254" w:lineRule="exact"/>
              <w:jc w:val="center"/>
              <w:rPr>
                <w:rFonts w:hint="default" w:ascii="仿宋_GB2312" w:hAnsi="仿宋_GB2312" w:eastAsia="仿宋_GB2312" w:cs="仿宋_GB2312"/>
                <w:sz w:val="24"/>
                <w:szCs w:val="24"/>
                <w:highlight w:val="none"/>
                <w:lang w:val="en-US" w:eastAsia="zh-CN"/>
              </w:rPr>
            </w:pPr>
            <w:r>
              <w:rPr>
                <w:rFonts w:hint="eastAsia" w:ascii="仿宋_GB2312" w:hAnsi="仿宋_GB2312" w:eastAsia="仿宋_GB2312" w:cs="仿宋_GB2312"/>
                <w:sz w:val="24"/>
                <w:szCs w:val="24"/>
                <w:highlight w:val="none"/>
                <w:lang w:val="en-US" w:eastAsia="zh-CN"/>
              </w:rPr>
              <w:t>市发改委</w:t>
            </w:r>
          </w:p>
        </w:tc>
      </w:tr>
      <w:tr w14:paraId="29F3C1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3" w:type="pct"/>
            <w:vMerge w:val="continue"/>
            <w:vAlign w:val="center"/>
          </w:tcPr>
          <w:p w14:paraId="75485EB8">
            <w:pPr>
              <w:spacing w:line="254" w:lineRule="exact"/>
              <w:jc w:val="center"/>
              <w:rPr>
                <w:rFonts w:ascii="仿宋_GB2312" w:hAnsi="仿宋_GB2312" w:eastAsia="仿宋_GB2312" w:cs="仿宋_GB2312"/>
                <w:sz w:val="24"/>
                <w:szCs w:val="24"/>
                <w:highlight w:val="none"/>
              </w:rPr>
            </w:pPr>
          </w:p>
        </w:tc>
        <w:tc>
          <w:tcPr>
            <w:tcW w:w="259" w:type="pct"/>
            <w:vMerge w:val="continue"/>
            <w:vAlign w:val="center"/>
          </w:tcPr>
          <w:p w14:paraId="178174FD">
            <w:pPr>
              <w:spacing w:line="254" w:lineRule="exact"/>
              <w:jc w:val="center"/>
              <w:rPr>
                <w:rFonts w:ascii="仿宋_GB2312" w:hAnsi="仿宋_GB2312" w:eastAsia="仿宋_GB2312" w:cs="仿宋_GB2312"/>
                <w:sz w:val="24"/>
                <w:szCs w:val="24"/>
                <w:highlight w:val="none"/>
              </w:rPr>
            </w:pPr>
          </w:p>
        </w:tc>
        <w:tc>
          <w:tcPr>
            <w:tcW w:w="2355" w:type="pct"/>
            <w:vAlign w:val="center"/>
          </w:tcPr>
          <w:p w14:paraId="00C86445">
            <w:pPr>
              <w:spacing w:line="254" w:lineRule="exact"/>
              <w:jc w:val="left"/>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推广绿色节能产品，推行绿色办公和大型活动碳中和。</w:t>
            </w:r>
          </w:p>
        </w:tc>
        <w:tc>
          <w:tcPr>
            <w:tcW w:w="627" w:type="pct"/>
            <w:vAlign w:val="center"/>
          </w:tcPr>
          <w:p w14:paraId="37443559">
            <w:pPr>
              <w:spacing w:line="254" w:lineRule="exact"/>
              <w:jc w:val="center"/>
              <w:rPr>
                <w:rFonts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lang w:val="en-US" w:eastAsia="zh-CN"/>
              </w:rPr>
              <w:t>2030年</w:t>
            </w:r>
          </w:p>
        </w:tc>
        <w:tc>
          <w:tcPr>
            <w:tcW w:w="680" w:type="pct"/>
            <w:vAlign w:val="center"/>
          </w:tcPr>
          <w:p w14:paraId="106E6843">
            <w:pPr>
              <w:spacing w:line="254" w:lineRule="exact"/>
              <w:jc w:val="center"/>
              <w:rPr>
                <w:rFonts w:hint="default" w:ascii="仿宋_GB2312" w:hAnsi="仿宋_GB2312" w:eastAsia="仿宋_GB2312" w:cs="仿宋_GB2312"/>
                <w:sz w:val="24"/>
                <w:szCs w:val="24"/>
                <w:highlight w:val="none"/>
                <w:lang w:val="en-US" w:eastAsia="zh-CN"/>
              </w:rPr>
            </w:pPr>
            <w:r>
              <w:rPr>
                <w:rFonts w:hint="eastAsia" w:ascii="仿宋_GB2312" w:hAnsi="仿宋_GB2312" w:eastAsia="仿宋_GB2312" w:cs="仿宋_GB2312"/>
                <w:sz w:val="24"/>
                <w:szCs w:val="24"/>
                <w:highlight w:val="none"/>
                <w:lang w:val="en-US" w:eastAsia="zh-CN"/>
              </w:rPr>
              <w:t>市商务局</w:t>
            </w:r>
          </w:p>
        </w:tc>
        <w:tc>
          <w:tcPr>
            <w:tcW w:w="923" w:type="pct"/>
            <w:vAlign w:val="center"/>
          </w:tcPr>
          <w:p w14:paraId="33B31E37">
            <w:pPr>
              <w:spacing w:line="254" w:lineRule="exact"/>
              <w:jc w:val="center"/>
              <w:rPr>
                <w:rFonts w:hint="default" w:ascii="仿宋_GB2312" w:hAnsi="仿宋_GB2312" w:eastAsia="仿宋_GB2312" w:cs="仿宋_GB2312"/>
                <w:sz w:val="24"/>
                <w:szCs w:val="24"/>
                <w:highlight w:val="none"/>
                <w:lang w:val="en-US" w:eastAsia="zh-CN"/>
              </w:rPr>
            </w:pPr>
            <w:r>
              <w:rPr>
                <w:rFonts w:hint="eastAsia" w:ascii="仿宋_GB2312" w:hAnsi="仿宋_GB2312" w:eastAsia="仿宋_GB2312" w:cs="仿宋_GB2312"/>
                <w:sz w:val="24"/>
                <w:szCs w:val="24"/>
                <w:highlight w:val="none"/>
                <w:lang w:val="en-US" w:eastAsia="zh-CN"/>
              </w:rPr>
              <w:t>市生态环境局</w:t>
            </w:r>
          </w:p>
        </w:tc>
      </w:tr>
      <w:tr w14:paraId="6B1F1A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3" w:type="pct"/>
            <w:vMerge w:val="continue"/>
            <w:vAlign w:val="center"/>
          </w:tcPr>
          <w:p w14:paraId="6F4A22A3">
            <w:pPr>
              <w:spacing w:line="254" w:lineRule="exact"/>
              <w:jc w:val="center"/>
              <w:rPr>
                <w:rFonts w:ascii="仿宋_GB2312" w:hAnsi="仿宋_GB2312" w:eastAsia="仿宋_GB2312" w:cs="仿宋_GB2312"/>
                <w:sz w:val="24"/>
                <w:szCs w:val="24"/>
                <w:highlight w:val="none"/>
              </w:rPr>
            </w:pPr>
          </w:p>
        </w:tc>
        <w:tc>
          <w:tcPr>
            <w:tcW w:w="259" w:type="pct"/>
            <w:vMerge w:val="continue"/>
            <w:vAlign w:val="center"/>
          </w:tcPr>
          <w:p w14:paraId="1855F877">
            <w:pPr>
              <w:spacing w:line="254" w:lineRule="exact"/>
              <w:jc w:val="center"/>
              <w:rPr>
                <w:rFonts w:ascii="仿宋_GB2312" w:hAnsi="仿宋_GB2312" w:eastAsia="仿宋_GB2312" w:cs="仿宋_GB2312"/>
                <w:sz w:val="24"/>
                <w:szCs w:val="24"/>
                <w:highlight w:val="none"/>
              </w:rPr>
            </w:pPr>
          </w:p>
        </w:tc>
        <w:tc>
          <w:tcPr>
            <w:tcW w:w="2355" w:type="pct"/>
            <w:vAlign w:val="center"/>
          </w:tcPr>
          <w:p w14:paraId="782AAF62">
            <w:pPr>
              <w:spacing w:line="254" w:lineRule="exact"/>
              <w:jc w:val="left"/>
              <w:rPr>
                <w:rFonts w:hint="default" w:ascii="仿宋_GB2312" w:hAnsi="仿宋_GB2312" w:eastAsia="仿宋_GB2312" w:cs="仿宋_GB2312"/>
                <w:sz w:val="24"/>
                <w:szCs w:val="24"/>
                <w:highlight w:val="none"/>
                <w:lang w:val="en-US" w:eastAsia="zh-CN"/>
              </w:rPr>
            </w:pPr>
            <w:r>
              <w:rPr>
                <w:rFonts w:hint="eastAsia" w:ascii="仿宋_GB2312" w:hAnsi="仿宋_GB2312" w:eastAsia="仿宋_GB2312" w:cs="仿宋_GB2312"/>
                <w:sz w:val="24"/>
                <w:szCs w:val="24"/>
                <w:highlight w:val="none"/>
                <w:lang w:val="en-US" w:eastAsia="zh-CN"/>
              </w:rPr>
              <w:t>推进节水型城市建设。</w:t>
            </w:r>
          </w:p>
        </w:tc>
        <w:tc>
          <w:tcPr>
            <w:tcW w:w="627" w:type="pct"/>
            <w:vAlign w:val="center"/>
          </w:tcPr>
          <w:p w14:paraId="7E8985FD">
            <w:pPr>
              <w:spacing w:line="254" w:lineRule="exact"/>
              <w:jc w:val="center"/>
              <w:rPr>
                <w:rFonts w:hint="eastAsia" w:ascii="仿宋_GB2312" w:hAnsi="仿宋_GB2312" w:eastAsia="仿宋_GB2312" w:cs="仿宋_GB2312"/>
                <w:sz w:val="24"/>
                <w:szCs w:val="24"/>
                <w:highlight w:val="none"/>
                <w:lang w:val="en-US" w:eastAsia="zh-CN"/>
              </w:rPr>
            </w:pPr>
            <w:r>
              <w:rPr>
                <w:rFonts w:hint="eastAsia" w:ascii="仿宋_GB2312" w:hAnsi="仿宋_GB2312" w:eastAsia="仿宋_GB2312" w:cs="仿宋_GB2312"/>
                <w:sz w:val="24"/>
                <w:szCs w:val="24"/>
                <w:highlight w:val="none"/>
                <w:lang w:val="en-US" w:eastAsia="zh-CN"/>
              </w:rPr>
              <w:t>2030年</w:t>
            </w:r>
          </w:p>
        </w:tc>
        <w:tc>
          <w:tcPr>
            <w:tcW w:w="680" w:type="pct"/>
            <w:vAlign w:val="center"/>
          </w:tcPr>
          <w:p w14:paraId="0B53BB89">
            <w:pPr>
              <w:spacing w:line="254" w:lineRule="exact"/>
              <w:jc w:val="center"/>
              <w:rPr>
                <w:rFonts w:hint="default" w:ascii="仿宋_GB2312" w:hAnsi="仿宋_GB2312" w:eastAsia="仿宋_GB2312" w:cs="仿宋_GB2312"/>
                <w:sz w:val="24"/>
                <w:szCs w:val="24"/>
                <w:highlight w:val="none"/>
                <w:lang w:val="en-US" w:eastAsia="zh-CN"/>
              </w:rPr>
            </w:pPr>
            <w:r>
              <w:rPr>
                <w:rFonts w:hint="eastAsia" w:ascii="仿宋_GB2312" w:hAnsi="仿宋_GB2312" w:eastAsia="仿宋_GB2312" w:cs="仿宋_GB2312"/>
                <w:sz w:val="24"/>
                <w:szCs w:val="24"/>
                <w:highlight w:val="none"/>
                <w:lang w:val="en-US" w:eastAsia="zh-CN"/>
              </w:rPr>
              <w:t>市水利和湖泊局</w:t>
            </w:r>
          </w:p>
        </w:tc>
        <w:tc>
          <w:tcPr>
            <w:tcW w:w="923" w:type="pct"/>
            <w:vAlign w:val="center"/>
          </w:tcPr>
          <w:p w14:paraId="27E57421">
            <w:pPr>
              <w:spacing w:line="254" w:lineRule="exact"/>
              <w:jc w:val="center"/>
              <w:rPr>
                <w:rFonts w:hint="eastAsia" w:ascii="仿宋_GB2312" w:hAnsi="仿宋_GB2312" w:eastAsia="仿宋_GB2312" w:cs="仿宋_GB2312"/>
                <w:sz w:val="24"/>
                <w:szCs w:val="24"/>
                <w:highlight w:val="none"/>
                <w:lang w:val="en-US" w:eastAsia="zh-CN"/>
              </w:rPr>
            </w:pPr>
          </w:p>
        </w:tc>
      </w:tr>
      <w:tr w14:paraId="011FD4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3" w:type="pct"/>
            <w:vMerge w:val="continue"/>
            <w:vAlign w:val="center"/>
          </w:tcPr>
          <w:p w14:paraId="3227D8F9">
            <w:pPr>
              <w:spacing w:line="254" w:lineRule="exact"/>
              <w:jc w:val="center"/>
              <w:rPr>
                <w:rFonts w:ascii="仿宋_GB2312" w:hAnsi="仿宋_GB2312" w:eastAsia="仿宋_GB2312" w:cs="仿宋_GB2312"/>
                <w:sz w:val="24"/>
                <w:szCs w:val="24"/>
                <w:highlight w:val="none"/>
              </w:rPr>
            </w:pPr>
          </w:p>
        </w:tc>
        <w:tc>
          <w:tcPr>
            <w:tcW w:w="259" w:type="pct"/>
            <w:vMerge w:val="continue"/>
            <w:vAlign w:val="center"/>
          </w:tcPr>
          <w:p w14:paraId="06FAB1BA">
            <w:pPr>
              <w:spacing w:line="254" w:lineRule="exact"/>
              <w:jc w:val="center"/>
              <w:rPr>
                <w:rFonts w:ascii="仿宋_GB2312" w:hAnsi="仿宋_GB2312" w:eastAsia="仿宋_GB2312" w:cs="仿宋_GB2312"/>
                <w:sz w:val="24"/>
                <w:szCs w:val="24"/>
                <w:highlight w:val="none"/>
              </w:rPr>
            </w:pPr>
          </w:p>
        </w:tc>
        <w:tc>
          <w:tcPr>
            <w:tcW w:w="2355" w:type="pct"/>
            <w:vAlign w:val="center"/>
          </w:tcPr>
          <w:p w14:paraId="0C0F7A91">
            <w:pPr>
              <w:spacing w:line="254" w:lineRule="exact"/>
              <w:jc w:val="left"/>
              <w:rPr>
                <w:rFonts w:hint="default" w:ascii="仿宋_GB2312" w:hAnsi="仿宋_GB2312" w:eastAsia="仿宋_GB2312" w:cs="仿宋_GB2312"/>
                <w:sz w:val="24"/>
                <w:szCs w:val="24"/>
                <w:highlight w:val="none"/>
                <w:lang w:val="en-US" w:eastAsia="zh-CN"/>
              </w:rPr>
            </w:pPr>
            <w:r>
              <w:rPr>
                <w:rFonts w:hint="eastAsia" w:ascii="仿宋_GB2312" w:hAnsi="仿宋_GB2312" w:eastAsia="仿宋_GB2312" w:cs="仿宋_GB2312"/>
                <w:sz w:val="24"/>
                <w:szCs w:val="24"/>
                <w:highlight w:val="none"/>
              </w:rPr>
              <w:t>探索推广“碳积分”、低碳产品认证标识，丰富“碳绘黄石”碳普惠平台在新能源车出行、骑行、居民节电等场景应用。</w:t>
            </w:r>
          </w:p>
        </w:tc>
        <w:tc>
          <w:tcPr>
            <w:tcW w:w="627" w:type="pct"/>
            <w:vAlign w:val="center"/>
          </w:tcPr>
          <w:p w14:paraId="77CA6C7D">
            <w:pPr>
              <w:spacing w:line="254" w:lineRule="exact"/>
              <w:jc w:val="center"/>
              <w:rPr>
                <w:rFonts w:hint="default" w:ascii="仿宋_GB2312" w:hAnsi="仿宋_GB2312" w:eastAsia="仿宋_GB2312" w:cs="仿宋_GB2312"/>
                <w:sz w:val="24"/>
                <w:szCs w:val="24"/>
                <w:highlight w:val="none"/>
                <w:lang w:val="en-US" w:eastAsia="zh-CN"/>
              </w:rPr>
            </w:pPr>
            <w:r>
              <w:rPr>
                <w:rFonts w:hint="eastAsia" w:ascii="仿宋_GB2312" w:hAnsi="仿宋_GB2312" w:eastAsia="仿宋_GB2312" w:cs="仿宋_GB2312"/>
                <w:sz w:val="24"/>
                <w:szCs w:val="24"/>
                <w:highlight w:val="none"/>
                <w:lang w:val="en-US" w:eastAsia="zh-CN"/>
              </w:rPr>
              <w:t>2027年</w:t>
            </w:r>
          </w:p>
        </w:tc>
        <w:tc>
          <w:tcPr>
            <w:tcW w:w="680" w:type="pct"/>
            <w:vAlign w:val="center"/>
          </w:tcPr>
          <w:p w14:paraId="30EED7BC">
            <w:pPr>
              <w:spacing w:line="254" w:lineRule="exact"/>
              <w:jc w:val="center"/>
              <w:rPr>
                <w:rFonts w:hint="eastAsia" w:ascii="仿宋_GB2312" w:hAnsi="仿宋_GB2312" w:eastAsia="仿宋_GB2312" w:cs="仿宋_GB2312"/>
                <w:sz w:val="24"/>
                <w:szCs w:val="24"/>
                <w:highlight w:val="none"/>
                <w:lang w:val="en-US" w:eastAsia="zh-CN"/>
              </w:rPr>
            </w:pPr>
            <w:r>
              <w:rPr>
                <w:rFonts w:hint="eastAsia" w:ascii="仿宋_GB2312" w:hAnsi="仿宋_GB2312" w:eastAsia="仿宋_GB2312" w:cs="仿宋_GB2312"/>
                <w:sz w:val="24"/>
                <w:szCs w:val="24"/>
                <w:highlight w:val="none"/>
                <w:lang w:val="en-US" w:eastAsia="zh-CN"/>
              </w:rPr>
              <w:t>市生态环境局</w:t>
            </w:r>
          </w:p>
        </w:tc>
        <w:tc>
          <w:tcPr>
            <w:tcW w:w="923" w:type="pct"/>
            <w:vAlign w:val="center"/>
          </w:tcPr>
          <w:p w14:paraId="1DCD19DC">
            <w:pPr>
              <w:spacing w:line="254" w:lineRule="exact"/>
              <w:jc w:val="center"/>
              <w:rPr>
                <w:rFonts w:hint="default" w:ascii="仿宋_GB2312" w:hAnsi="仿宋_GB2312" w:eastAsia="仿宋_GB2312" w:cs="仿宋_GB2312"/>
                <w:sz w:val="24"/>
                <w:szCs w:val="24"/>
                <w:highlight w:val="none"/>
                <w:lang w:val="en-US" w:eastAsia="zh-CN"/>
              </w:rPr>
            </w:pPr>
            <w:r>
              <w:rPr>
                <w:rFonts w:hint="eastAsia" w:ascii="仿宋_GB2312" w:hAnsi="仿宋_GB2312" w:eastAsia="仿宋_GB2312" w:cs="仿宋_GB2312"/>
                <w:sz w:val="24"/>
                <w:szCs w:val="24"/>
                <w:highlight w:val="none"/>
                <w:lang w:val="en-US" w:eastAsia="zh-CN"/>
              </w:rPr>
              <w:t>市发改委、市经信局、市交通运输局</w:t>
            </w:r>
          </w:p>
        </w:tc>
      </w:tr>
      <w:tr w14:paraId="37E2B9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3" w:type="pct"/>
            <w:vMerge w:val="continue"/>
            <w:vAlign w:val="center"/>
          </w:tcPr>
          <w:p w14:paraId="7F98AFDC">
            <w:pPr>
              <w:widowControl w:val="0"/>
              <w:spacing w:after="120" w:afterAutospacing="0"/>
              <w:ind w:left="420" w:leftChars="200" w:firstLine="420" w:firstLineChars="200"/>
              <w:jc w:val="both"/>
              <w:rPr>
                <w:rFonts w:ascii="Calibri" w:hAnsi="Calibri" w:eastAsia="宋体" w:cs="Times New Roman"/>
                <w:kern w:val="2"/>
                <w:sz w:val="21"/>
                <w:szCs w:val="24"/>
                <w:highlight w:val="none"/>
                <w:lang w:val="en-US" w:eastAsia="zh-CN" w:bidi="ar-SA"/>
              </w:rPr>
            </w:pPr>
          </w:p>
        </w:tc>
        <w:tc>
          <w:tcPr>
            <w:tcW w:w="259" w:type="pct"/>
            <w:vMerge w:val="restart"/>
            <w:vAlign w:val="center"/>
          </w:tcPr>
          <w:p w14:paraId="62CD3ADF">
            <w:pPr>
              <w:spacing w:line="254" w:lineRule="exact"/>
              <w:jc w:val="center"/>
              <w:rPr>
                <w:rFonts w:hint="default" w:ascii="仿宋_GB2312" w:hAnsi="仿宋_GB2312" w:eastAsia="仿宋_GB2312" w:cs="仿宋_GB2312"/>
                <w:sz w:val="24"/>
                <w:szCs w:val="24"/>
                <w:highlight w:val="none"/>
                <w:lang w:val="en-US" w:eastAsia="zh-CN"/>
              </w:rPr>
            </w:pPr>
            <w:r>
              <w:rPr>
                <w:rFonts w:hint="eastAsia" w:ascii="仿宋_GB2312" w:hAnsi="仿宋_GB2312" w:eastAsia="仿宋_GB2312" w:cs="仿宋_GB2312"/>
                <w:sz w:val="24"/>
                <w:szCs w:val="24"/>
                <w:highlight w:val="none"/>
                <w:lang w:val="en-US" w:eastAsia="zh-CN"/>
              </w:rPr>
              <w:t>4.大力发展工业文旅新业态</w:t>
            </w:r>
          </w:p>
        </w:tc>
        <w:tc>
          <w:tcPr>
            <w:tcW w:w="2355" w:type="pct"/>
            <w:vAlign w:val="center"/>
          </w:tcPr>
          <w:p w14:paraId="0881386A">
            <w:pPr>
              <w:spacing w:line="254" w:lineRule="exact"/>
              <w:jc w:val="left"/>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推进铜绿山古铜矿遗址、汉冶萍煤铁厂矿遗址、华新水泥厂旧址、大冶铁矿东露天采场等遗产本体保护修缮，推动“中国古代矿冶遗址”“中国近代工业化遗产”申报世界文化遗产。</w:t>
            </w:r>
          </w:p>
        </w:tc>
        <w:tc>
          <w:tcPr>
            <w:tcW w:w="627" w:type="pct"/>
            <w:vAlign w:val="center"/>
          </w:tcPr>
          <w:p w14:paraId="532514CD">
            <w:pPr>
              <w:spacing w:line="254" w:lineRule="exact"/>
              <w:jc w:val="center"/>
              <w:rPr>
                <w:rFonts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lang w:val="en-US" w:eastAsia="zh-CN"/>
              </w:rPr>
              <w:t>2027年</w:t>
            </w:r>
          </w:p>
        </w:tc>
        <w:tc>
          <w:tcPr>
            <w:tcW w:w="680" w:type="pct"/>
            <w:vAlign w:val="center"/>
          </w:tcPr>
          <w:p w14:paraId="1A81CD07">
            <w:pPr>
              <w:spacing w:line="254" w:lineRule="exact"/>
              <w:jc w:val="center"/>
              <w:rPr>
                <w:rFonts w:hint="eastAsia" w:ascii="仿宋_GB2312" w:hAnsi="仿宋_GB2312" w:eastAsia="仿宋_GB2312" w:cs="仿宋_GB2312"/>
                <w:sz w:val="24"/>
                <w:szCs w:val="24"/>
                <w:highlight w:val="none"/>
                <w:lang w:val="en-US" w:eastAsia="zh-CN"/>
              </w:rPr>
            </w:pPr>
            <w:r>
              <w:rPr>
                <w:rFonts w:hint="eastAsia" w:ascii="仿宋_GB2312" w:hAnsi="仿宋_GB2312" w:eastAsia="仿宋_GB2312" w:cs="仿宋_GB2312"/>
                <w:sz w:val="24"/>
                <w:szCs w:val="24"/>
                <w:highlight w:val="none"/>
                <w:lang w:val="en-US" w:eastAsia="zh-CN"/>
              </w:rPr>
              <w:t>市文物保护中心、市住房和城市更新局</w:t>
            </w:r>
          </w:p>
        </w:tc>
        <w:tc>
          <w:tcPr>
            <w:tcW w:w="923" w:type="pct"/>
            <w:vAlign w:val="center"/>
          </w:tcPr>
          <w:p w14:paraId="6D2AC0E4">
            <w:pPr>
              <w:spacing w:line="254" w:lineRule="exact"/>
              <w:jc w:val="center"/>
              <w:rPr>
                <w:rFonts w:hint="eastAsia" w:ascii="仿宋_GB2312" w:hAnsi="仿宋_GB2312" w:eastAsia="仿宋_GB2312" w:cs="仿宋_GB2312"/>
                <w:sz w:val="24"/>
                <w:szCs w:val="24"/>
                <w:highlight w:val="none"/>
                <w:lang w:val="en-US" w:eastAsia="zh-CN"/>
              </w:rPr>
            </w:pPr>
            <w:r>
              <w:rPr>
                <w:rFonts w:hint="eastAsia" w:ascii="仿宋_GB2312" w:hAnsi="仿宋_GB2312" w:eastAsia="仿宋_GB2312" w:cs="仿宋_GB2312"/>
                <w:sz w:val="24"/>
                <w:szCs w:val="24"/>
                <w:highlight w:val="none"/>
                <w:lang w:val="en-US" w:eastAsia="zh-CN"/>
              </w:rPr>
              <w:t>市文化和旅游局</w:t>
            </w:r>
          </w:p>
        </w:tc>
      </w:tr>
      <w:tr w14:paraId="22DBB0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3" w:type="pct"/>
            <w:vMerge w:val="continue"/>
            <w:vAlign w:val="center"/>
          </w:tcPr>
          <w:p w14:paraId="7B1E854D">
            <w:pPr>
              <w:spacing w:line="254" w:lineRule="exact"/>
              <w:jc w:val="center"/>
              <w:rPr>
                <w:rFonts w:ascii="仿宋_GB2312" w:hAnsi="仿宋_GB2312" w:eastAsia="仿宋_GB2312" w:cs="仿宋_GB2312"/>
                <w:sz w:val="24"/>
                <w:szCs w:val="24"/>
                <w:highlight w:val="none"/>
              </w:rPr>
            </w:pPr>
          </w:p>
        </w:tc>
        <w:tc>
          <w:tcPr>
            <w:tcW w:w="259" w:type="pct"/>
            <w:vMerge w:val="continue"/>
            <w:vAlign w:val="center"/>
          </w:tcPr>
          <w:p w14:paraId="5D86471B">
            <w:pPr>
              <w:spacing w:line="254" w:lineRule="exact"/>
              <w:jc w:val="center"/>
              <w:rPr>
                <w:rFonts w:ascii="仿宋_GB2312" w:hAnsi="仿宋_GB2312" w:eastAsia="仿宋_GB2312" w:cs="仿宋_GB2312"/>
                <w:sz w:val="24"/>
                <w:szCs w:val="24"/>
                <w:highlight w:val="none"/>
              </w:rPr>
            </w:pPr>
          </w:p>
        </w:tc>
        <w:tc>
          <w:tcPr>
            <w:tcW w:w="2355" w:type="pct"/>
            <w:vAlign w:val="center"/>
          </w:tcPr>
          <w:p w14:paraId="11062C67">
            <w:pPr>
              <w:spacing w:line="254" w:lineRule="exact"/>
              <w:jc w:val="left"/>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加强卸矿机旧址、大冶钢厂苏</w:t>
            </w:r>
            <w:r>
              <w:rPr>
                <w:rFonts w:hint="eastAsia" w:ascii="仿宋_GB2312" w:hAnsi="仿宋_GB2312" w:eastAsia="仿宋_GB2312" w:cs="仿宋_GB2312"/>
                <w:sz w:val="24"/>
                <w:szCs w:val="24"/>
                <w:highlight w:val="none"/>
                <w:lang w:val="en-US" w:eastAsia="zh-CN"/>
              </w:rPr>
              <w:t>式</w:t>
            </w:r>
            <w:r>
              <w:rPr>
                <w:rFonts w:hint="eastAsia" w:ascii="仿宋_GB2312" w:hAnsi="仿宋_GB2312" w:eastAsia="仿宋_GB2312" w:cs="仿宋_GB2312"/>
                <w:sz w:val="24"/>
                <w:szCs w:val="24"/>
                <w:highlight w:val="none"/>
              </w:rPr>
              <w:t>建筑群等历史文化街区“品牌化”活化利用，打造2-3个历史文化活化利用可复制可推广的优秀案例</w:t>
            </w:r>
            <w:r>
              <w:rPr>
                <w:rFonts w:hint="eastAsia" w:ascii="仿宋_GB2312" w:hAnsi="仿宋_GB2312" w:eastAsia="仿宋_GB2312" w:cs="仿宋_GB2312"/>
                <w:sz w:val="24"/>
                <w:szCs w:val="24"/>
                <w:highlight w:val="none"/>
                <w:lang w:eastAsia="zh-CN"/>
              </w:rPr>
              <w:t>。</w:t>
            </w:r>
            <w:r>
              <w:rPr>
                <w:rFonts w:hint="eastAsia" w:ascii="仿宋_GB2312" w:hAnsi="仿宋_GB2312" w:eastAsia="仿宋_GB2312" w:cs="仿宋_GB2312"/>
                <w:sz w:val="24"/>
                <w:szCs w:val="24"/>
                <w:highlight w:val="none"/>
              </w:rPr>
              <w:t>实施铜绿山古铜矿遗址博物馆、黄石市博物馆等矿冶主题场馆适旅化改造工程，开发工业文创衍生品和沉浸式体验项目。</w:t>
            </w:r>
          </w:p>
        </w:tc>
        <w:tc>
          <w:tcPr>
            <w:tcW w:w="627" w:type="pct"/>
            <w:vAlign w:val="center"/>
          </w:tcPr>
          <w:p w14:paraId="7F4EC902">
            <w:pPr>
              <w:spacing w:line="254" w:lineRule="exact"/>
              <w:jc w:val="center"/>
              <w:rPr>
                <w:rFonts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lang w:val="en-US" w:eastAsia="zh-CN"/>
              </w:rPr>
              <w:t>2030年</w:t>
            </w:r>
          </w:p>
        </w:tc>
        <w:tc>
          <w:tcPr>
            <w:tcW w:w="680" w:type="pct"/>
            <w:vAlign w:val="center"/>
          </w:tcPr>
          <w:p w14:paraId="53C3EF01">
            <w:pPr>
              <w:spacing w:line="254" w:lineRule="exact"/>
              <w:jc w:val="center"/>
              <w:rPr>
                <w:rFonts w:hint="eastAsia" w:ascii="仿宋_GB2312" w:hAnsi="仿宋_GB2312" w:eastAsia="仿宋_GB2312" w:cs="仿宋_GB2312"/>
                <w:sz w:val="24"/>
                <w:szCs w:val="24"/>
                <w:highlight w:val="none"/>
                <w:lang w:val="en-US" w:eastAsia="zh-CN"/>
              </w:rPr>
            </w:pPr>
            <w:r>
              <w:rPr>
                <w:rFonts w:hint="eastAsia" w:ascii="仿宋_GB2312" w:hAnsi="仿宋_GB2312" w:eastAsia="仿宋_GB2312" w:cs="仿宋_GB2312"/>
                <w:sz w:val="24"/>
                <w:szCs w:val="24"/>
                <w:highlight w:val="none"/>
                <w:lang w:val="en-US" w:eastAsia="zh-CN"/>
              </w:rPr>
              <w:t>市文化和旅游局</w:t>
            </w:r>
          </w:p>
        </w:tc>
        <w:tc>
          <w:tcPr>
            <w:tcW w:w="923" w:type="pct"/>
            <w:vAlign w:val="center"/>
          </w:tcPr>
          <w:p w14:paraId="37B87E51">
            <w:pPr>
              <w:spacing w:line="254" w:lineRule="exact"/>
              <w:jc w:val="center"/>
              <w:rPr>
                <w:rFonts w:hint="eastAsia" w:ascii="仿宋_GB2312" w:hAnsi="仿宋_GB2312" w:eastAsia="仿宋_GB2312" w:cs="仿宋_GB2312"/>
                <w:sz w:val="24"/>
                <w:szCs w:val="24"/>
                <w:highlight w:val="none"/>
                <w:lang w:val="en-US" w:eastAsia="zh-CN"/>
              </w:rPr>
            </w:pPr>
            <w:r>
              <w:rPr>
                <w:rFonts w:hint="eastAsia" w:ascii="仿宋_GB2312" w:hAnsi="仿宋_GB2312" w:eastAsia="仿宋_GB2312" w:cs="仿宋_GB2312"/>
                <w:sz w:val="24"/>
                <w:szCs w:val="24"/>
                <w:highlight w:val="none"/>
                <w:lang w:val="en-US" w:eastAsia="zh-CN"/>
              </w:rPr>
              <w:t>市文物保护中心、市住房和城市更新局</w:t>
            </w:r>
          </w:p>
        </w:tc>
      </w:tr>
      <w:tr w14:paraId="3A2CE2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3" w:type="pct"/>
            <w:vMerge w:val="continue"/>
            <w:vAlign w:val="center"/>
          </w:tcPr>
          <w:p w14:paraId="21EE3E43">
            <w:pPr>
              <w:spacing w:line="254" w:lineRule="exact"/>
              <w:jc w:val="center"/>
              <w:rPr>
                <w:rFonts w:ascii="仿宋_GB2312" w:hAnsi="仿宋_GB2312" w:eastAsia="仿宋_GB2312" w:cs="仿宋_GB2312"/>
                <w:sz w:val="24"/>
                <w:szCs w:val="24"/>
                <w:highlight w:val="none"/>
              </w:rPr>
            </w:pPr>
          </w:p>
        </w:tc>
        <w:tc>
          <w:tcPr>
            <w:tcW w:w="259" w:type="pct"/>
            <w:vMerge w:val="continue"/>
            <w:vAlign w:val="center"/>
          </w:tcPr>
          <w:p w14:paraId="7701FADE">
            <w:pPr>
              <w:spacing w:line="254" w:lineRule="exact"/>
              <w:jc w:val="center"/>
              <w:rPr>
                <w:rFonts w:hint="default" w:ascii="仿宋_GB2312" w:hAnsi="仿宋_GB2312" w:eastAsia="仿宋_GB2312" w:cs="仿宋_GB2312"/>
                <w:sz w:val="24"/>
                <w:szCs w:val="24"/>
                <w:highlight w:val="none"/>
                <w:lang w:val="en-US" w:eastAsia="zh-CN"/>
              </w:rPr>
            </w:pPr>
          </w:p>
        </w:tc>
        <w:tc>
          <w:tcPr>
            <w:tcW w:w="2355" w:type="pct"/>
            <w:vAlign w:val="center"/>
          </w:tcPr>
          <w:p w14:paraId="0D760406">
            <w:pPr>
              <w:spacing w:line="254" w:lineRule="exact"/>
              <w:jc w:val="left"/>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打造工业旅游精品线路，积极争创以工业遗产保护利用为特色的国家文物保护利用示范区。</w:t>
            </w:r>
          </w:p>
        </w:tc>
        <w:tc>
          <w:tcPr>
            <w:tcW w:w="627" w:type="pct"/>
            <w:vAlign w:val="center"/>
          </w:tcPr>
          <w:p w14:paraId="4C7F37E4">
            <w:pPr>
              <w:spacing w:line="254" w:lineRule="exact"/>
              <w:jc w:val="center"/>
              <w:rPr>
                <w:rFonts w:hint="default" w:ascii="仿宋_GB2312" w:hAnsi="仿宋_GB2312" w:eastAsia="仿宋_GB2312" w:cs="仿宋_GB2312"/>
                <w:sz w:val="24"/>
                <w:szCs w:val="24"/>
                <w:highlight w:val="none"/>
                <w:lang w:val="en-US" w:eastAsia="zh-CN"/>
              </w:rPr>
            </w:pPr>
            <w:r>
              <w:rPr>
                <w:rFonts w:hint="eastAsia" w:ascii="仿宋_GB2312" w:hAnsi="仿宋_GB2312" w:eastAsia="仿宋_GB2312" w:cs="仿宋_GB2312"/>
                <w:sz w:val="24"/>
                <w:szCs w:val="24"/>
                <w:highlight w:val="none"/>
                <w:lang w:val="en-US" w:eastAsia="zh-CN"/>
              </w:rPr>
              <w:t>2030年</w:t>
            </w:r>
          </w:p>
        </w:tc>
        <w:tc>
          <w:tcPr>
            <w:tcW w:w="680" w:type="pct"/>
            <w:vAlign w:val="center"/>
          </w:tcPr>
          <w:p w14:paraId="144B8EBF">
            <w:pPr>
              <w:spacing w:line="254" w:lineRule="exact"/>
              <w:jc w:val="center"/>
              <w:rPr>
                <w:rFonts w:hint="eastAsia" w:ascii="仿宋_GB2312" w:hAnsi="仿宋_GB2312" w:eastAsia="仿宋_GB2312" w:cs="仿宋_GB2312"/>
                <w:sz w:val="24"/>
                <w:szCs w:val="24"/>
                <w:highlight w:val="none"/>
                <w:lang w:val="en-US" w:eastAsia="zh-CN"/>
              </w:rPr>
            </w:pPr>
            <w:r>
              <w:rPr>
                <w:rFonts w:hint="eastAsia" w:ascii="仿宋_GB2312" w:hAnsi="仿宋_GB2312" w:eastAsia="仿宋_GB2312" w:cs="仿宋_GB2312"/>
                <w:sz w:val="24"/>
                <w:szCs w:val="24"/>
                <w:highlight w:val="none"/>
                <w:lang w:val="en-US" w:eastAsia="zh-CN"/>
              </w:rPr>
              <w:t>市文化和旅游局</w:t>
            </w:r>
          </w:p>
        </w:tc>
        <w:tc>
          <w:tcPr>
            <w:tcW w:w="923" w:type="pct"/>
            <w:vAlign w:val="center"/>
          </w:tcPr>
          <w:p w14:paraId="4173DC6C">
            <w:pPr>
              <w:spacing w:line="254" w:lineRule="exact"/>
              <w:jc w:val="center"/>
              <w:rPr>
                <w:rFonts w:hint="eastAsia" w:ascii="仿宋_GB2312" w:hAnsi="仿宋_GB2312" w:eastAsia="仿宋_GB2312" w:cs="仿宋_GB2312"/>
                <w:kern w:val="2"/>
                <w:sz w:val="24"/>
                <w:szCs w:val="24"/>
                <w:highlight w:val="none"/>
                <w:lang w:val="en-US" w:eastAsia="zh-CN" w:bidi="ar-SA"/>
              </w:rPr>
            </w:pPr>
            <w:r>
              <w:rPr>
                <w:rFonts w:hint="eastAsia" w:ascii="仿宋_GB2312" w:hAnsi="仿宋_GB2312" w:eastAsia="仿宋_GB2312" w:cs="仿宋_GB2312"/>
                <w:sz w:val="24"/>
                <w:szCs w:val="24"/>
                <w:highlight w:val="none"/>
                <w:lang w:val="en-US" w:eastAsia="zh-CN"/>
              </w:rPr>
              <w:t>市经信局</w:t>
            </w:r>
          </w:p>
        </w:tc>
      </w:tr>
      <w:tr w14:paraId="1A9821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53" w:type="pct"/>
            <w:vMerge w:val="restart"/>
            <w:vAlign w:val="center"/>
          </w:tcPr>
          <w:p w14:paraId="04A77D95">
            <w:pPr>
              <w:spacing w:line="254" w:lineRule="exact"/>
              <w:jc w:val="center"/>
              <w:rPr>
                <w:rFonts w:hint="default" w:ascii="仿宋_GB2312" w:hAnsi="仿宋_GB2312" w:eastAsia="仿宋_GB2312" w:cs="仿宋_GB2312"/>
                <w:sz w:val="24"/>
                <w:szCs w:val="24"/>
                <w:highlight w:val="none"/>
                <w:lang w:val="en-US" w:eastAsia="zh-CN"/>
              </w:rPr>
            </w:pPr>
            <w:r>
              <w:rPr>
                <w:rFonts w:hint="eastAsia" w:ascii="仿宋_GB2312" w:hAnsi="仿宋_GB2312" w:eastAsia="仿宋_GB2312" w:cs="仿宋_GB2312"/>
                <w:sz w:val="24"/>
                <w:szCs w:val="24"/>
                <w:highlight w:val="none"/>
                <w:lang w:val="en-US" w:eastAsia="zh-CN"/>
              </w:rPr>
              <w:t>环境优美</w:t>
            </w:r>
          </w:p>
        </w:tc>
        <w:tc>
          <w:tcPr>
            <w:tcW w:w="259" w:type="pct"/>
            <w:vMerge w:val="restart"/>
            <w:vAlign w:val="center"/>
          </w:tcPr>
          <w:p w14:paraId="75C883D8">
            <w:pPr>
              <w:spacing w:line="254" w:lineRule="exact"/>
              <w:jc w:val="center"/>
              <w:rPr>
                <w:rFonts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lang w:val="en-US" w:eastAsia="zh-CN"/>
              </w:rPr>
              <w:t>5.</w:t>
            </w:r>
            <w:r>
              <w:rPr>
                <w:rFonts w:hint="eastAsia" w:ascii="仿宋_GB2312" w:hAnsi="仿宋_GB2312" w:eastAsia="仿宋_GB2312" w:cs="仿宋_GB2312"/>
                <w:sz w:val="24"/>
                <w:szCs w:val="24"/>
                <w:highlight w:val="none"/>
              </w:rPr>
              <w:t>推进水环境质量巩固提升</w:t>
            </w:r>
          </w:p>
        </w:tc>
        <w:tc>
          <w:tcPr>
            <w:tcW w:w="2355" w:type="pct"/>
            <w:vAlign w:val="center"/>
          </w:tcPr>
          <w:p w14:paraId="536C015E">
            <w:pPr>
              <w:spacing w:line="254" w:lineRule="exact"/>
              <w:jc w:val="left"/>
              <w:rPr>
                <w:rFonts w:hint="eastAsia" w:ascii="仿宋_GB2312" w:hAnsi="仿宋_GB2312" w:eastAsia="仿宋_GB2312" w:cs="仿宋_GB2312"/>
                <w:kern w:val="2"/>
                <w:sz w:val="24"/>
                <w:szCs w:val="24"/>
                <w:highlight w:val="none"/>
                <w:lang w:val="en-US" w:eastAsia="zh-CN" w:bidi="ar-SA"/>
              </w:rPr>
            </w:pPr>
            <w:r>
              <w:rPr>
                <w:rFonts w:hint="eastAsia" w:ascii="仿宋_GB2312" w:hAnsi="仿宋_GB2312" w:eastAsia="仿宋_GB2312" w:cs="仿宋_GB2312"/>
                <w:sz w:val="24"/>
                <w:szCs w:val="24"/>
                <w:highlight w:val="none"/>
              </w:rPr>
              <w:t>实施胜阳港片区、八泉片区、新下陆片区等区域雨污分流改造工程，新建或改造污水管网100公里，对市政管网混错接及三四级缺陷查漏补缺，完成全市6座</w:t>
            </w:r>
            <w:r>
              <w:rPr>
                <w:rFonts w:hint="eastAsia" w:ascii="仿宋_GB2312" w:hAnsi="仿宋_GB2312" w:eastAsia="仿宋_GB2312" w:cs="仿宋_GB2312"/>
                <w:sz w:val="24"/>
                <w:szCs w:val="24"/>
                <w:highlight w:val="none"/>
                <w:lang w:eastAsia="zh-CN"/>
              </w:rPr>
              <w:t>污水处理厂</w:t>
            </w:r>
            <w:r>
              <w:rPr>
                <w:rFonts w:hint="eastAsia" w:ascii="仿宋_GB2312" w:hAnsi="仿宋_GB2312" w:eastAsia="仿宋_GB2312" w:cs="仿宋_GB2312"/>
                <w:sz w:val="24"/>
                <w:szCs w:val="24"/>
                <w:highlight w:val="none"/>
              </w:rPr>
              <w:t>及10座泵站约260套老旧设施更新改造</w:t>
            </w:r>
            <w:r>
              <w:rPr>
                <w:rFonts w:hint="eastAsia" w:ascii="仿宋_GB2312" w:hAnsi="仿宋_GB2312" w:eastAsia="仿宋_GB2312" w:cs="仿宋_GB2312"/>
                <w:sz w:val="24"/>
                <w:szCs w:val="24"/>
                <w:highlight w:val="none"/>
                <w:lang w:eastAsia="zh-CN"/>
              </w:rPr>
              <w:t>。</w:t>
            </w:r>
          </w:p>
        </w:tc>
        <w:tc>
          <w:tcPr>
            <w:tcW w:w="627" w:type="pct"/>
            <w:vAlign w:val="center"/>
          </w:tcPr>
          <w:p w14:paraId="2F0D8009">
            <w:pPr>
              <w:spacing w:line="254" w:lineRule="exact"/>
              <w:jc w:val="center"/>
              <w:rPr>
                <w:rFonts w:hint="default" w:ascii="仿宋_GB2312" w:hAnsi="仿宋_GB2312" w:eastAsia="仿宋_GB2312" w:cs="仿宋_GB2312"/>
                <w:kern w:val="2"/>
                <w:sz w:val="24"/>
                <w:szCs w:val="24"/>
                <w:highlight w:val="none"/>
                <w:lang w:val="en-US" w:eastAsia="zh-CN" w:bidi="ar-SA"/>
              </w:rPr>
            </w:pPr>
            <w:r>
              <w:rPr>
                <w:rFonts w:hint="eastAsia" w:ascii="仿宋_GB2312" w:hAnsi="仿宋_GB2312" w:eastAsia="仿宋_GB2312" w:cs="仿宋_GB2312"/>
                <w:sz w:val="24"/>
                <w:szCs w:val="24"/>
                <w:highlight w:val="none"/>
                <w:lang w:val="en-US" w:eastAsia="zh-CN"/>
              </w:rPr>
              <w:t>2026年</w:t>
            </w:r>
          </w:p>
        </w:tc>
        <w:tc>
          <w:tcPr>
            <w:tcW w:w="680" w:type="pct"/>
            <w:vAlign w:val="center"/>
          </w:tcPr>
          <w:p w14:paraId="134A6434">
            <w:pPr>
              <w:spacing w:line="254" w:lineRule="exact"/>
              <w:jc w:val="center"/>
              <w:rPr>
                <w:rFonts w:hint="eastAsia" w:ascii="仿宋_GB2312" w:hAnsi="仿宋_GB2312" w:eastAsia="仿宋_GB2312" w:cs="仿宋_GB2312"/>
                <w:kern w:val="2"/>
                <w:sz w:val="24"/>
                <w:szCs w:val="24"/>
                <w:highlight w:val="none"/>
                <w:lang w:val="en-US" w:eastAsia="zh-CN" w:bidi="ar-SA"/>
              </w:rPr>
            </w:pPr>
            <w:r>
              <w:rPr>
                <w:rFonts w:hint="eastAsia" w:ascii="仿宋_GB2312" w:hAnsi="仿宋_GB2312" w:eastAsia="仿宋_GB2312" w:cs="仿宋_GB2312"/>
                <w:sz w:val="24"/>
                <w:szCs w:val="24"/>
                <w:highlight w:val="none"/>
                <w:lang w:val="en-US" w:eastAsia="zh-CN"/>
              </w:rPr>
              <w:t>市城管委</w:t>
            </w:r>
          </w:p>
        </w:tc>
        <w:tc>
          <w:tcPr>
            <w:tcW w:w="923" w:type="pct"/>
            <w:vAlign w:val="center"/>
          </w:tcPr>
          <w:p w14:paraId="1B3E35EF">
            <w:pPr>
              <w:spacing w:line="254" w:lineRule="exact"/>
              <w:jc w:val="center"/>
              <w:rPr>
                <w:rFonts w:hint="eastAsia" w:ascii="仿宋_GB2312" w:hAnsi="仿宋_GB2312" w:eastAsia="仿宋_GB2312" w:cs="仿宋_GB2312"/>
                <w:kern w:val="2"/>
                <w:sz w:val="24"/>
                <w:szCs w:val="24"/>
                <w:highlight w:val="none"/>
                <w:lang w:val="en-US" w:eastAsia="zh-CN" w:bidi="ar-SA"/>
              </w:rPr>
            </w:pPr>
          </w:p>
        </w:tc>
      </w:tr>
      <w:tr w14:paraId="71B3B8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53" w:type="pct"/>
            <w:vMerge w:val="continue"/>
            <w:vAlign w:val="center"/>
          </w:tcPr>
          <w:p w14:paraId="5D9C5E84">
            <w:pPr>
              <w:spacing w:line="254" w:lineRule="exact"/>
              <w:jc w:val="center"/>
              <w:rPr>
                <w:rFonts w:hint="eastAsia" w:ascii="仿宋_GB2312" w:hAnsi="仿宋_GB2312" w:eastAsia="仿宋_GB2312" w:cs="仿宋_GB2312"/>
                <w:sz w:val="24"/>
                <w:szCs w:val="24"/>
                <w:highlight w:val="none"/>
                <w:lang w:val="en-US" w:eastAsia="zh-CN"/>
              </w:rPr>
            </w:pPr>
          </w:p>
        </w:tc>
        <w:tc>
          <w:tcPr>
            <w:tcW w:w="259" w:type="pct"/>
            <w:vMerge w:val="continue"/>
            <w:vAlign w:val="center"/>
          </w:tcPr>
          <w:p w14:paraId="3205A8D4">
            <w:pPr>
              <w:spacing w:line="254" w:lineRule="exact"/>
              <w:jc w:val="center"/>
              <w:rPr>
                <w:rFonts w:hint="eastAsia" w:ascii="仿宋_GB2312" w:hAnsi="仿宋_GB2312" w:eastAsia="仿宋_GB2312" w:cs="仿宋_GB2312"/>
                <w:sz w:val="24"/>
                <w:szCs w:val="24"/>
                <w:highlight w:val="none"/>
                <w:lang w:val="en-US" w:eastAsia="zh-CN"/>
              </w:rPr>
            </w:pPr>
          </w:p>
        </w:tc>
        <w:tc>
          <w:tcPr>
            <w:tcW w:w="2355" w:type="pct"/>
            <w:vAlign w:val="center"/>
          </w:tcPr>
          <w:p w14:paraId="77C31AC0">
            <w:pPr>
              <w:spacing w:line="254" w:lineRule="exact"/>
              <w:jc w:val="left"/>
              <w:rPr>
                <w:rFonts w:hint="eastAsia" w:ascii="仿宋_GB2312" w:hAnsi="仿宋_GB2312" w:eastAsia="仿宋_GB2312" w:cs="仿宋_GB2312"/>
                <w:kern w:val="2"/>
                <w:sz w:val="24"/>
                <w:szCs w:val="24"/>
                <w:highlight w:val="none"/>
                <w:lang w:val="en-US" w:eastAsia="zh-CN" w:bidi="ar-SA"/>
              </w:rPr>
            </w:pPr>
            <w:r>
              <w:rPr>
                <w:rFonts w:hint="eastAsia" w:ascii="仿宋_GB2312" w:hAnsi="仿宋_GB2312" w:eastAsia="仿宋_GB2312" w:cs="仿宋_GB2312"/>
                <w:sz w:val="24"/>
                <w:szCs w:val="24"/>
                <w:highlight w:val="none"/>
              </w:rPr>
              <w:t>实施城区花湖和青山湖片区、团城山片区等区域生活污水收集管网完善工程，打造城市污水管网全覆盖样板区。推行污水处理厂、管网与河湖水体联动“厂网河（湖）一体”专业化运维机制。</w:t>
            </w:r>
          </w:p>
        </w:tc>
        <w:tc>
          <w:tcPr>
            <w:tcW w:w="627" w:type="pct"/>
            <w:vAlign w:val="center"/>
          </w:tcPr>
          <w:p w14:paraId="76624C2E">
            <w:pPr>
              <w:spacing w:line="254" w:lineRule="exact"/>
              <w:jc w:val="center"/>
              <w:rPr>
                <w:rFonts w:hint="eastAsia" w:ascii="仿宋_GB2312" w:hAnsi="仿宋_GB2312" w:eastAsia="仿宋_GB2312" w:cs="仿宋_GB2312"/>
                <w:kern w:val="2"/>
                <w:sz w:val="24"/>
                <w:szCs w:val="24"/>
                <w:highlight w:val="none"/>
                <w:lang w:val="en-US" w:eastAsia="zh-CN" w:bidi="ar-SA"/>
              </w:rPr>
            </w:pPr>
            <w:r>
              <w:rPr>
                <w:rFonts w:hint="eastAsia" w:ascii="仿宋_GB2312" w:hAnsi="仿宋_GB2312" w:eastAsia="仿宋_GB2312" w:cs="仿宋_GB2312"/>
                <w:sz w:val="24"/>
                <w:szCs w:val="24"/>
                <w:highlight w:val="none"/>
                <w:lang w:val="en-US" w:eastAsia="zh-CN"/>
              </w:rPr>
              <w:t>2030年</w:t>
            </w:r>
          </w:p>
        </w:tc>
        <w:tc>
          <w:tcPr>
            <w:tcW w:w="680" w:type="pct"/>
            <w:vAlign w:val="center"/>
          </w:tcPr>
          <w:p w14:paraId="1DF570D7">
            <w:pPr>
              <w:spacing w:line="254" w:lineRule="exact"/>
              <w:jc w:val="center"/>
              <w:rPr>
                <w:rFonts w:hint="default" w:ascii="仿宋_GB2312" w:hAnsi="仿宋_GB2312" w:eastAsia="仿宋_GB2312" w:cs="仿宋_GB2312"/>
                <w:sz w:val="24"/>
                <w:szCs w:val="24"/>
                <w:highlight w:val="none"/>
                <w:lang w:val="en-US" w:eastAsia="zh-CN"/>
              </w:rPr>
            </w:pPr>
            <w:r>
              <w:rPr>
                <w:rFonts w:hint="eastAsia" w:ascii="仿宋_GB2312" w:hAnsi="仿宋_GB2312" w:eastAsia="仿宋_GB2312" w:cs="仿宋_GB2312"/>
                <w:sz w:val="24"/>
                <w:szCs w:val="24"/>
                <w:highlight w:val="none"/>
                <w:lang w:val="en-US" w:eastAsia="zh-CN"/>
              </w:rPr>
              <w:t>市城管委</w:t>
            </w:r>
          </w:p>
        </w:tc>
        <w:tc>
          <w:tcPr>
            <w:tcW w:w="923" w:type="pct"/>
            <w:vAlign w:val="center"/>
          </w:tcPr>
          <w:p w14:paraId="62D19346">
            <w:pPr>
              <w:spacing w:line="254" w:lineRule="exact"/>
              <w:jc w:val="center"/>
              <w:rPr>
                <w:rFonts w:hint="eastAsia" w:ascii="仿宋_GB2312" w:hAnsi="仿宋_GB2312" w:eastAsia="仿宋_GB2312" w:cs="仿宋_GB2312"/>
                <w:sz w:val="24"/>
                <w:szCs w:val="24"/>
                <w:highlight w:val="none"/>
                <w:lang w:val="en-US" w:eastAsia="zh-CN"/>
              </w:rPr>
            </w:pPr>
          </w:p>
        </w:tc>
      </w:tr>
      <w:tr w14:paraId="3A687A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3" w:type="pct"/>
            <w:vMerge w:val="continue"/>
            <w:vAlign w:val="center"/>
          </w:tcPr>
          <w:p w14:paraId="3167CA0D">
            <w:pPr>
              <w:spacing w:line="254" w:lineRule="exact"/>
              <w:jc w:val="center"/>
              <w:rPr>
                <w:rFonts w:ascii="仿宋_GB2312" w:hAnsi="仿宋_GB2312" w:eastAsia="仿宋_GB2312" w:cs="仿宋_GB2312"/>
                <w:sz w:val="24"/>
                <w:szCs w:val="24"/>
                <w:highlight w:val="none"/>
              </w:rPr>
            </w:pPr>
          </w:p>
        </w:tc>
        <w:tc>
          <w:tcPr>
            <w:tcW w:w="259" w:type="pct"/>
            <w:vMerge w:val="continue"/>
            <w:vAlign w:val="center"/>
          </w:tcPr>
          <w:p w14:paraId="20F7AE60">
            <w:pPr>
              <w:spacing w:line="254" w:lineRule="exact"/>
              <w:jc w:val="center"/>
              <w:rPr>
                <w:rFonts w:ascii="仿宋_GB2312" w:hAnsi="仿宋_GB2312" w:eastAsia="仿宋_GB2312" w:cs="仿宋_GB2312"/>
                <w:sz w:val="24"/>
                <w:szCs w:val="24"/>
                <w:highlight w:val="none"/>
              </w:rPr>
            </w:pPr>
          </w:p>
        </w:tc>
        <w:tc>
          <w:tcPr>
            <w:tcW w:w="2355" w:type="pct"/>
            <w:vAlign w:val="center"/>
          </w:tcPr>
          <w:p w14:paraId="4C8AD92F">
            <w:pPr>
              <w:spacing w:line="254" w:lineRule="exact"/>
              <w:jc w:val="left"/>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lang w:val="en-US" w:eastAsia="zh-CN"/>
              </w:rPr>
              <w:t>实施城市黑臭水体环境保护专项行动，</w:t>
            </w:r>
            <w:r>
              <w:rPr>
                <w:rFonts w:hint="eastAsia" w:ascii="仿宋_GB2312" w:hAnsi="仿宋_GB2312" w:eastAsia="仿宋_GB2312" w:cs="仿宋_GB2312"/>
                <w:sz w:val="24"/>
                <w:szCs w:val="24"/>
                <w:highlight w:val="none"/>
              </w:rPr>
              <w:t>健全长效监管与返黑返臭防范机制。</w:t>
            </w:r>
          </w:p>
        </w:tc>
        <w:tc>
          <w:tcPr>
            <w:tcW w:w="627" w:type="pct"/>
            <w:vAlign w:val="center"/>
          </w:tcPr>
          <w:p w14:paraId="123BA5EE">
            <w:pPr>
              <w:spacing w:line="254" w:lineRule="exact"/>
              <w:jc w:val="center"/>
              <w:rPr>
                <w:rFonts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lang w:val="en-US" w:eastAsia="zh-CN"/>
              </w:rPr>
              <w:t>2027年</w:t>
            </w:r>
          </w:p>
        </w:tc>
        <w:tc>
          <w:tcPr>
            <w:tcW w:w="680" w:type="pct"/>
            <w:vAlign w:val="center"/>
          </w:tcPr>
          <w:p w14:paraId="7CEE3B94">
            <w:pPr>
              <w:spacing w:line="254" w:lineRule="exact"/>
              <w:jc w:val="center"/>
              <w:rPr>
                <w:rFonts w:hint="eastAsia" w:ascii="仿宋_GB2312" w:hAnsi="仿宋_GB2312" w:eastAsia="仿宋_GB2312" w:cs="仿宋_GB2312"/>
                <w:sz w:val="24"/>
                <w:szCs w:val="24"/>
                <w:highlight w:val="none"/>
                <w:lang w:val="en-US" w:eastAsia="zh-CN"/>
              </w:rPr>
            </w:pPr>
            <w:r>
              <w:rPr>
                <w:rFonts w:hint="eastAsia" w:ascii="仿宋_GB2312" w:hAnsi="仿宋_GB2312" w:eastAsia="仿宋_GB2312" w:cs="仿宋_GB2312"/>
                <w:sz w:val="24"/>
                <w:szCs w:val="24"/>
                <w:highlight w:val="none"/>
                <w:lang w:val="en-US" w:eastAsia="zh-CN"/>
              </w:rPr>
              <w:t>市城管委</w:t>
            </w:r>
          </w:p>
        </w:tc>
        <w:tc>
          <w:tcPr>
            <w:tcW w:w="923" w:type="pct"/>
            <w:vAlign w:val="center"/>
          </w:tcPr>
          <w:p w14:paraId="0753184B">
            <w:pPr>
              <w:spacing w:line="254" w:lineRule="exact"/>
              <w:jc w:val="center"/>
              <w:rPr>
                <w:rFonts w:hint="default" w:ascii="仿宋_GB2312" w:hAnsi="仿宋_GB2312" w:eastAsia="仿宋_GB2312" w:cs="仿宋_GB2312"/>
                <w:sz w:val="24"/>
                <w:szCs w:val="24"/>
                <w:highlight w:val="none"/>
                <w:lang w:val="en-US" w:eastAsia="zh-CN"/>
              </w:rPr>
            </w:pPr>
            <w:r>
              <w:rPr>
                <w:rFonts w:hint="eastAsia" w:ascii="仿宋_GB2312" w:hAnsi="仿宋_GB2312" w:eastAsia="仿宋_GB2312" w:cs="仿宋_GB2312"/>
                <w:sz w:val="24"/>
                <w:szCs w:val="24"/>
                <w:highlight w:val="none"/>
                <w:lang w:val="en-US" w:eastAsia="zh-CN"/>
              </w:rPr>
              <w:t>市生态环境局</w:t>
            </w:r>
          </w:p>
        </w:tc>
      </w:tr>
      <w:tr w14:paraId="542015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3" w:type="pct"/>
            <w:vMerge w:val="continue"/>
            <w:vAlign w:val="center"/>
          </w:tcPr>
          <w:p w14:paraId="51548A6A">
            <w:pPr>
              <w:spacing w:line="254" w:lineRule="exact"/>
              <w:jc w:val="center"/>
              <w:rPr>
                <w:rFonts w:ascii="仿宋_GB2312" w:hAnsi="仿宋_GB2312" w:eastAsia="仿宋_GB2312" w:cs="仿宋_GB2312"/>
                <w:sz w:val="24"/>
                <w:szCs w:val="24"/>
                <w:highlight w:val="none"/>
              </w:rPr>
            </w:pPr>
          </w:p>
        </w:tc>
        <w:tc>
          <w:tcPr>
            <w:tcW w:w="259" w:type="pct"/>
            <w:vMerge w:val="continue"/>
            <w:vAlign w:val="center"/>
          </w:tcPr>
          <w:p w14:paraId="689A16C4">
            <w:pPr>
              <w:spacing w:line="254" w:lineRule="exact"/>
              <w:jc w:val="center"/>
              <w:rPr>
                <w:rFonts w:ascii="仿宋_GB2312" w:hAnsi="仿宋_GB2312" w:eastAsia="仿宋_GB2312" w:cs="仿宋_GB2312"/>
                <w:sz w:val="24"/>
                <w:szCs w:val="24"/>
                <w:highlight w:val="none"/>
              </w:rPr>
            </w:pPr>
          </w:p>
        </w:tc>
        <w:tc>
          <w:tcPr>
            <w:tcW w:w="2355" w:type="pct"/>
            <w:vAlign w:val="center"/>
          </w:tcPr>
          <w:p w14:paraId="1EFA95AD">
            <w:pPr>
              <w:spacing w:line="254" w:lineRule="exact"/>
              <w:jc w:val="left"/>
              <w:rPr>
                <w:rFonts w:hint="eastAsia" w:ascii="仿宋_GB2312" w:hAnsi="仿宋_GB2312" w:eastAsia="仿宋_GB2312" w:cs="仿宋_GB2312"/>
                <w:sz w:val="24"/>
                <w:szCs w:val="24"/>
                <w:highlight w:val="none"/>
                <w:lang w:eastAsia="zh-CN"/>
              </w:rPr>
            </w:pPr>
            <w:r>
              <w:rPr>
                <w:rFonts w:hint="eastAsia" w:ascii="仿宋_GB2312" w:hAnsi="仿宋_GB2312" w:eastAsia="仿宋_GB2312" w:cs="仿宋_GB2312"/>
                <w:sz w:val="24"/>
                <w:szCs w:val="24"/>
                <w:highlight w:val="none"/>
              </w:rPr>
              <w:t>加强磁湖、网湖等重点湖泊综合治理和修复，</w:t>
            </w:r>
            <w:r>
              <w:rPr>
                <w:rFonts w:hint="eastAsia" w:ascii="仿宋_GB2312" w:hAnsi="仿宋_GB2312" w:eastAsia="仿宋_GB2312" w:cs="仿宋_GB2312"/>
                <w:sz w:val="24"/>
                <w:szCs w:val="24"/>
                <w:highlight w:val="none"/>
                <w:lang w:val="en-US" w:eastAsia="zh-CN"/>
              </w:rPr>
              <w:t>开展</w:t>
            </w:r>
            <w:r>
              <w:rPr>
                <w:rFonts w:hint="eastAsia" w:ascii="仿宋_GB2312" w:hAnsi="仿宋_GB2312" w:eastAsia="仿宋_GB2312" w:cs="仿宋_GB2312"/>
                <w:sz w:val="24"/>
                <w:szCs w:val="24"/>
                <w:highlight w:val="none"/>
              </w:rPr>
              <w:t>夏浴湖幸福河湖建设</w:t>
            </w:r>
            <w:r>
              <w:rPr>
                <w:rFonts w:hint="eastAsia" w:ascii="仿宋_GB2312" w:hAnsi="仿宋_GB2312" w:eastAsia="仿宋_GB2312" w:cs="仿宋_GB2312"/>
                <w:sz w:val="24"/>
                <w:szCs w:val="24"/>
                <w:highlight w:val="none"/>
                <w:lang w:eastAsia="zh-CN"/>
              </w:rPr>
              <w:t>。</w:t>
            </w:r>
          </w:p>
        </w:tc>
        <w:tc>
          <w:tcPr>
            <w:tcW w:w="627" w:type="pct"/>
            <w:vAlign w:val="center"/>
          </w:tcPr>
          <w:p w14:paraId="0E615FDE">
            <w:pPr>
              <w:spacing w:line="254" w:lineRule="exact"/>
              <w:jc w:val="center"/>
              <w:rPr>
                <w:rFonts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lang w:val="en-US" w:eastAsia="zh-CN"/>
              </w:rPr>
              <w:t>2026年</w:t>
            </w:r>
          </w:p>
        </w:tc>
        <w:tc>
          <w:tcPr>
            <w:tcW w:w="680" w:type="pct"/>
            <w:vAlign w:val="center"/>
          </w:tcPr>
          <w:p w14:paraId="2D8D711C">
            <w:pPr>
              <w:spacing w:line="254" w:lineRule="exact"/>
              <w:jc w:val="center"/>
              <w:rPr>
                <w:rFonts w:hint="default" w:ascii="仿宋_GB2312" w:hAnsi="仿宋_GB2312" w:eastAsia="仿宋_GB2312" w:cs="仿宋_GB2312"/>
                <w:sz w:val="24"/>
                <w:szCs w:val="24"/>
                <w:highlight w:val="none"/>
                <w:lang w:val="en-US" w:eastAsia="zh-CN"/>
              </w:rPr>
            </w:pPr>
            <w:r>
              <w:rPr>
                <w:rFonts w:hint="eastAsia" w:ascii="仿宋_GB2312" w:hAnsi="仿宋_GB2312" w:eastAsia="仿宋_GB2312" w:cs="仿宋_GB2312"/>
                <w:sz w:val="24"/>
                <w:szCs w:val="24"/>
                <w:highlight w:val="none"/>
                <w:lang w:val="en-US" w:eastAsia="zh-CN"/>
              </w:rPr>
              <w:t>市水利和湖泊局</w:t>
            </w:r>
          </w:p>
        </w:tc>
        <w:tc>
          <w:tcPr>
            <w:tcW w:w="923" w:type="pct"/>
            <w:vAlign w:val="center"/>
          </w:tcPr>
          <w:p w14:paraId="0311C3DD">
            <w:pPr>
              <w:spacing w:line="254" w:lineRule="exact"/>
              <w:jc w:val="center"/>
              <w:rPr>
                <w:rFonts w:hint="default" w:ascii="仿宋_GB2312" w:hAnsi="仿宋_GB2312" w:eastAsia="仿宋_GB2312" w:cs="仿宋_GB2312"/>
                <w:sz w:val="24"/>
                <w:szCs w:val="24"/>
                <w:highlight w:val="none"/>
                <w:lang w:val="en-US" w:eastAsia="zh-CN"/>
              </w:rPr>
            </w:pPr>
            <w:r>
              <w:rPr>
                <w:rFonts w:hint="eastAsia" w:ascii="仿宋_GB2312" w:hAnsi="仿宋_GB2312" w:eastAsia="仿宋_GB2312" w:cs="仿宋_GB2312"/>
                <w:sz w:val="24"/>
                <w:szCs w:val="24"/>
                <w:highlight w:val="none"/>
                <w:lang w:val="en-US" w:eastAsia="zh-CN"/>
              </w:rPr>
              <w:t>市自然资源和城乡建设局、市生态环境局</w:t>
            </w:r>
          </w:p>
        </w:tc>
      </w:tr>
      <w:tr w14:paraId="59E419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3" w:type="pct"/>
            <w:vMerge w:val="continue"/>
            <w:vAlign w:val="center"/>
          </w:tcPr>
          <w:p w14:paraId="6F64B00E">
            <w:pPr>
              <w:spacing w:line="254" w:lineRule="exact"/>
              <w:jc w:val="center"/>
              <w:rPr>
                <w:rFonts w:ascii="仿宋_GB2312" w:hAnsi="仿宋_GB2312" w:eastAsia="仿宋_GB2312" w:cs="仿宋_GB2312"/>
                <w:sz w:val="24"/>
                <w:szCs w:val="24"/>
                <w:highlight w:val="none"/>
              </w:rPr>
            </w:pPr>
          </w:p>
        </w:tc>
        <w:tc>
          <w:tcPr>
            <w:tcW w:w="259" w:type="pct"/>
            <w:vMerge w:val="continue"/>
            <w:vAlign w:val="center"/>
          </w:tcPr>
          <w:p w14:paraId="105E124A">
            <w:pPr>
              <w:spacing w:line="254" w:lineRule="exact"/>
              <w:jc w:val="center"/>
              <w:rPr>
                <w:rFonts w:ascii="仿宋_GB2312" w:hAnsi="仿宋_GB2312" w:eastAsia="仿宋_GB2312" w:cs="仿宋_GB2312"/>
                <w:sz w:val="24"/>
                <w:szCs w:val="24"/>
                <w:highlight w:val="none"/>
              </w:rPr>
            </w:pPr>
          </w:p>
        </w:tc>
        <w:tc>
          <w:tcPr>
            <w:tcW w:w="2355" w:type="pct"/>
            <w:vAlign w:val="center"/>
          </w:tcPr>
          <w:p w14:paraId="15FF5949">
            <w:pPr>
              <w:spacing w:line="254" w:lineRule="exact"/>
              <w:jc w:val="left"/>
              <w:rPr>
                <w:rFonts w:hint="eastAsia" w:ascii="仿宋_GB2312" w:hAnsi="仿宋_GB2312" w:eastAsia="仿宋_GB2312" w:cs="仿宋_GB2312"/>
                <w:sz w:val="24"/>
                <w:szCs w:val="24"/>
                <w:highlight w:val="none"/>
                <w:lang w:eastAsia="zh-CN"/>
              </w:rPr>
            </w:pPr>
            <w:r>
              <w:rPr>
                <w:rFonts w:hint="eastAsia" w:ascii="仿宋_GB2312" w:hAnsi="仿宋_GB2312" w:eastAsia="仿宋_GB2312" w:cs="仿宋_GB2312"/>
                <w:sz w:val="24"/>
                <w:szCs w:val="24"/>
                <w:highlight w:val="none"/>
              </w:rPr>
              <w:t>推进长江黄石段、长港等重要水体建设</w:t>
            </w:r>
            <w:r>
              <w:rPr>
                <w:rFonts w:hint="eastAsia" w:ascii="仿宋_GB2312" w:hAnsi="仿宋_GB2312" w:eastAsia="仿宋_GB2312" w:cs="仿宋_GB2312"/>
                <w:sz w:val="24"/>
                <w:szCs w:val="24"/>
                <w:highlight w:val="none"/>
                <w:lang w:val="en-US" w:eastAsia="zh-CN"/>
              </w:rPr>
              <w:t>国家级</w:t>
            </w:r>
            <w:r>
              <w:rPr>
                <w:rFonts w:hint="eastAsia" w:ascii="仿宋_GB2312" w:hAnsi="仿宋_GB2312" w:eastAsia="仿宋_GB2312" w:cs="仿宋_GB2312"/>
                <w:sz w:val="24"/>
                <w:szCs w:val="24"/>
                <w:highlight w:val="none"/>
              </w:rPr>
              <w:t>美丽河湖</w:t>
            </w:r>
            <w:r>
              <w:rPr>
                <w:rFonts w:hint="eastAsia" w:ascii="仿宋_GB2312" w:hAnsi="仿宋_GB2312" w:eastAsia="仿宋_GB2312" w:cs="仿宋_GB2312"/>
                <w:sz w:val="24"/>
                <w:szCs w:val="24"/>
                <w:highlight w:val="none"/>
                <w:lang w:eastAsia="zh-CN"/>
              </w:rPr>
              <w:t>，</w:t>
            </w:r>
            <w:r>
              <w:rPr>
                <w:rFonts w:hint="eastAsia" w:ascii="仿宋_GB2312" w:hAnsi="仿宋_GB2312" w:eastAsia="仿宋_GB2312" w:cs="仿宋_GB2312"/>
                <w:sz w:val="24"/>
                <w:szCs w:val="24"/>
                <w:highlight w:val="none"/>
                <w:lang w:val="en-US" w:eastAsia="zh-CN"/>
              </w:rPr>
              <w:t>推进大冶湖</w:t>
            </w:r>
            <w:r>
              <w:rPr>
                <w:rFonts w:hint="eastAsia" w:ascii="仿宋_GB2312" w:hAnsi="仿宋_GB2312" w:eastAsia="仿宋_GB2312" w:cs="仿宋_GB2312"/>
                <w:sz w:val="24"/>
                <w:szCs w:val="24"/>
                <w:highlight w:val="none"/>
              </w:rPr>
              <w:t>建设</w:t>
            </w:r>
            <w:r>
              <w:rPr>
                <w:rFonts w:hint="eastAsia" w:ascii="仿宋_GB2312" w:hAnsi="仿宋_GB2312" w:eastAsia="仿宋_GB2312" w:cs="仿宋_GB2312"/>
                <w:sz w:val="24"/>
                <w:szCs w:val="24"/>
                <w:highlight w:val="none"/>
                <w:lang w:val="en-US" w:eastAsia="zh-CN"/>
              </w:rPr>
              <w:t>省级</w:t>
            </w:r>
            <w:r>
              <w:rPr>
                <w:rFonts w:hint="eastAsia" w:ascii="仿宋_GB2312" w:hAnsi="仿宋_GB2312" w:eastAsia="仿宋_GB2312" w:cs="仿宋_GB2312"/>
                <w:sz w:val="24"/>
                <w:szCs w:val="24"/>
                <w:highlight w:val="none"/>
              </w:rPr>
              <w:t>美丽河湖</w:t>
            </w:r>
            <w:r>
              <w:rPr>
                <w:rFonts w:hint="eastAsia" w:ascii="仿宋_GB2312" w:hAnsi="仿宋_GB2312" w:eastAsia="仿宋_GB2312" w:cs="仿宋_GB2312"/>
                <w:sz w:val="24"/>
                <w:szCs w:val="24"/>
                <w:highlight w:val="none"/>
                <w:lang w:eastAsia="zh-CN"/>
              </w:rPr>
              <w:t>。</w:t>
            </w:r>
          </w:p>
        </w:tc>
        <w:tc>
          <w:tcPr>
            <w:tcW w:w="627" w:type="pct"/>
            <w:vAlign w:val="center"/>
          </w:tcPr>
          <w:p w14:paraId="2DB84C44">
            <w:pPr>
              <w:spacing w:line="254" w:lineRule="exact"/>
              <w:jc w:val="center"/>
              <w:rPr>
                <w:rFonts w:hint="default" w:ascii="仿宋_GB2312" w:hAnsi="仿宋_GB2312" w:eastAsia="仿宋_GB2312" w:cs="仿宋_GB2312"/>
                <w:sz w:val="24"/>
                <w:szCs w:val="24"/>
                <w:highlight w:val="none"/>
                <w:lang w:val="en-US" w:eastAsia="zh-CN"/>
              </w:rPr>
            </w:pPr>
            <w:r>
              <w:rPr>
                <w:rFonts w:hint="eastAsia" w:ascii="仿宋_GB2312" w:hAnsi="仿宋_GB2312" w:eastAsia="仿宋_GB2312" w:cs="仿宋_GB2312"/>
                <w:sz w:val="24"/>
                <w:szCs w:val="24"/>
                <w:highlight w:val="none"/>
                <w:lang w:val="en-US" w:eastAsia="zh-CN"/>
              </w:rPr>
              <w:t>2027年</w:t>
            </w:r>
          </w:p>
        </w:tc>
        <w:tc>
          <w:tcPr>
            <w:tcW w:w="680" w:type="pct"/>
            <w:vAlign w:val="center"/>
          </w:tcPr>
          <w:p w14:paraId="6B6C484B">
            <w:pPr>
              <w:spacing w:line="254" w:lineRule="exact"/>
              <w:jc w:val="center"/>
              <w:rPr>
                <w:rFonts w:hint="eastAsia" w:ascii="仿宋_GB2312" w:hAnsi="仿宋_GB2312" w:eastAsia="仿宋_GB2312" w:cs="仿宋_GB2312"/>
                <w:sz w:val="24"/>
                <w:szCs w:val="24"/>
                <w:highlight w:val="none"/>
                <w:lang w:val="en-US" w:eastAsia="zh-CN"/>
              </w:rPr>
            </w:pPr>
            <w:r>
              <w:rPr>
                <w:rFonts w:hint="eastAsia" w:ascii="仿宋_GB2312" w:hAnsi="仿宋_GB2312" w:eastAsia="仿宋_GB2312" w:cs="仿宋_GB2312"/>
                <w:sz w:val="24"/>
                <w:szCs w:val="24"/>
                <w:highlight w:val="none"/>
              </w:rPr>
              <w:t>市生态环境局</w:t>
            </w:r>
          </w:p>
        </w:tc>
        <w:tc>
          <w:tcPr>
            <w:tcW w:w="923" w:type="pct"/>
            <w:vAlign w:val="center"/>
          </w:tcPr>
          <w:p w14:paraId="2F5CE160">
            <w:pPr>
              <w:spacing w:line="254" w:lineRule="exact"/>
              <w:jc w:val="center"/>
              <w:rPr>
                <w:rFonts w:hint="eastAsia" w:ascii="仿宋_GB2312" w:hAnsi="仿宋_GB2312" w:eastAsia="仿宋_GB2312" w:cs="仿宋_GB2312"/>
                <w:sz w:val="24"/>
                <w:szCs w:val="24"/>
                <w:highlight w:val="none"/>
                <w:lang w:val="en-US" w:eastAsia="zh-CN"/>
              </w:rPr>
            </w:pPr>
            <w:r>
              <w:rPr>
                <w:rFonts w:hint="eastAsia" w:ascii="仿宋_GB2312" w:hAnsi="仿宋_GB2312" w:eastAsia="仿宋_GB2312" w:cs="仿宋_GB2312"/>
                <w:sz w:val="24"/>
                <w:szCs w:val="24"/>
                <w:highlight w:val="none"/>
                <w:lang w:val="en-US" w:eastAsia="zh-CN"/>
              </w:rPr>
              <w:t>市住房和城市更新局、市水利和湖泊局、市自然资源和城乡建设局</w:t>
            </w:r>
          </w:p>
        </w:tc>
      </w:tr>
      <w:tr w14:paraId="77D797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3" w:type="pct"/>
            <w:vMerge w:val="continue"/>
            <w:vAlign w:val="center"/>
          </w:tcPr>
          <w:p w14:paraId="21FD0FF9">
            <w:pPr>
              <w:spacing w:line="254" w:lineRule="exact"/>
              <w:jc w:val="center"/>
              <w:rPr>
                <w:rFonts w:ascii="仿宋_GB2312" w:hAnsi="仿宋_GB2312" w:eastAsia="仿宋_GB2312" w:cs="仿宋_GB2312"/>
                <w:sz w:val="24"/>
                <w:szCs w:val="24"/>
                <w:highlight w:val="none"/>
              </w:rPr>
            </w:pPr>
          </w:p>
        </w:tc>
        <w:tc>
          <w:tcPr>
            <w:tcW w:w="259" w:type="pct"/>
            <w:vMerge w:val="restart"/>
            <w:vAlign w:val="center"/>
          </w:tcPr>
          <w:p w14:paraId="02C7CE00">
            <w:pPr>
              <w:spacing w:line="254" w:lineRule="exact"/>
              <w:jc w:val="center"/>
              <w:rPr>
                <w:rFonts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lang w:val="en-US" w:eastAsia="zh-CN"/>
              </w:rPr>
              <w:t>6.</w:t>
            </w:r>
            <w:r>
              <w:rPr>
                <w:rFonts w:hint="eastAsia" w:ascii="仿宋_GB2312" w:hAnsi="仿宋_GB2312" w:eastAsia="仿宋_GB2312" w:cs="仿宋_GB2312"/>
                <w:sz w:val="24"/>
                <w:szCs w:val="24"/>
                <w:highlight w:val="none"/>
              </w:rPr>
              <w:t>推进大气环境质量持续改善</w:t>
            </w:r>
          </w:p>
        </w:tc>
        <w:tc>
          <w:tcPr>
            <w:tcW w:w="2355" w:type="pct"/>
            <w:vAlign w:val="center"/>
          </w:tcPr>
          <w:p w14:paraId="787C6E53">
            <w:pPr>
              <w:spacing w:line="254" w:lineRule="exact"/>
              <w:jc w:val="left"/>
              <w:rPr>
                <w:rFonts w:hint="eastAsia" w:ascii="仿宋_GB2312" w:hAnsi="仿宋_GB2312" w:eastAsia="仿宋_GB2312" w:cs="仿宋_GB2312"/>
                <w:sz w:val="24"/>
                <w:szCs w:val="24"/>
                <w:highlight w:val="none"/>
                <w:lang w:eastAsia="zh-CN"/>
              </w:rPr>
            </w:pPr>
            <w:r>
              <w:rPr>
                <w:rFonts w:hint="eastAsia" w:ascii="仿宋_GB2312" w:hAnsi="仿宋_GB2312" w:eastAsia="仿宋_GB2312" w:cs="仿宋_GB2312"/>
                <w:sz w:val="24"/>
                <w:szCs w:val="24"/>
                <w:highlight w:val="none"/>
              </w:rPr>
              <w:t>加强重点行业全链条治理，实施水泥、焦化等行业超低排放改造</w:t>
            </w:r>
            <w:r>
              <w:rPr>
                <w:rFonts w:hint="eastAsia" w:ascii="仿宋_GB2312" w:hAnsi="仿宋_GB2312" w:eastAsia="仿宋_GB2312" w:cs="仿宋_GB2312"/>
                <w:sz w:val="24"/>
                <w:szCs w:val="24"/>
                <w:highlight w:val="none"/>
                <w:lang w:eastAsia="zh-CN"/>
              </w:rPr>
              <w:t>，</w:t>
            </w:r>
            <w:r>
              <w:rPr>
                <w:rFonts w:hint="eastAsia" w:ascii="仿宋_GB2312" w:hAnsi="仿宋_GB2312" w:eastAsia="仿宋_GB2312" w:cs="仿宋_GB2312"/>
                <w:sz w:val="24"/>
                <w:szCs w:val="24"/>
                <w:highlight w:val="none"/>
                <w:lang w:val="en-US" w:eastAsia="zh-CN"/>
              </w:rPr>
              <w:t>全市重点行业基本完成超低排放改造</w:t>
            </w:r>
            <w:r>
              <w:rPr>
                <w:rFonts w:hint="eastAsia" w:ascii="仿宋_GB2312" w:hAnsi="仿宋_GB2312" w:eastAsia="仿宋_GB2312" w:cs="仿宋_GB2312"/>
                <w:sz w:val="24"/>
                <w:szCs w:val="24"/>
                <w:highlight w:val="none"/>
                <w:lang w:eastAsia="zh-CN"/>
              </w:rPr>
              <w:t>。</w:t>
            </w:r>
          </w:p>
        </w:tc>
        <w:tc>
          <w:tcPr>
            <w:tcW w:w="627" w:type="pct"/>
            <w:vAlign w:val="center"/>
          </w:tcPr>
          <w:p w14:paraId="1682F295">
            <w:pPr>
              <w:spacing w:line="254" w:lineRule="exact"/>
              <w:jc w:val="center"/>
              <w:rPr>
                <w:rFonts w:hint="default" w:ascii="仿宋_GB2312" w:hAnsi="仿宋_GB2312" w:eastAsia="仿宋_GB2312" w:cs="仿宋_GB2312"/>
                <w:sz w:val="24"/>
                <w:szCs w:val="24"/>
                <w:highlight w:val="none"/>
                <w:lang w:val="en-US" w:eastAsia="zh-CN"/>
              </w:rPr>
            </w:pPr>
            <w:r>
              <w:rPr>
                <w:rFonts w:hint="eastAsia" w:ascii="仿宋_GB2312" w:hAnsi="仿宋_GB2312" w:eastAsia="仿宋_GB2312" w:cs="仿宋_GB2312"/>
                <w:sz w:val="24"/>
                <w:szCs w:val="24"/>
                <w:highlight w:val="none"/>
                <w:lang w:val="en-US" w:eastAsia="zh-CN"/>
              </w:rPr>
              <w:t>2028年</w:t>
            </w:r>
          </w:p>
        </w:tc>
        <w:tc>
          <w:tcPr>
            <w:tcW w:w="680" w:type="pct"/>
            <w:vAlign w:val="center"/>
          </w:tcPr>
          <w:p w14:paraId="5E8E102C">
            <w:pPr>
              <w:spacing w:line="254" w:lineRule="exact"/>
              <w:jc w:val="center"/>
              <w:rPr>
                <w:rFonts w:hint="eastAsia" w:ascii="仿宋_GB2312" w:hAnsi="仿宋_GB2312" w:eastAsia="仿宋_GB2312" w:cs="仿宋_GB2312"/>
                <w:sz w:val="24"/>
                <w:szCs w:val="24"/>
                <w:highlight w:val="none"/>
                <w:lang w:val="en-US" w:eastAsia="zh-CN"/>
              </w:rPr>
            </w:pPr>
            <w:r>
              <w:rPr>
                <w:rFonts w:hint="eastAsia" w:ascii="仿宋_GB2312" w:hAnsi="仿宋_GB2312" w:eastAsia="仿宋_GB2312" w:cs="仿宋_GB2312"/>
                <w:sz w:val="24"/>
                <w:szCs w:val="24"/>
                <w:highlight w:val="none"/>
              </w:rPr>
              <w:t>市生态环境局</w:t>
            </w:r>
          </w:p>
        </w:tc>
        <w:tc>
          <w:tcPr>
            <w:tcW w:w="923" w:type="pct"/>
            <w:vAlign w:val="center"/>
          </w:tcPr>
          <w:p w14:paraId="2071499A">
            <w:pPr>
              <w:spacing w:line="254" w:lineRule="exact"/>
              <w:jc w:val="center"/>
              <w:rPr>
                <w:rFonts w:hint="eastAsia" w:ascii="仿宋_GB2312" w:hAnsi="仿宋_GB2312" w:eastAsia="仿宋_GB2312" w:cs="仿宋_GB2312"/>
                <w:sz w:val="24"/>
                <w:highlight w:val="none"/>
                <w:lang w:val="en-US" w:eastAsia="zh-CN"/>
              </w:rPr>
            </w:pPr>
            <w:r>
              <w:rPr>
                <w:rFonts w:hint="eastAsia" w:ascii="仿宋_GB2312" w:hAnsi="仿宋_GB2312" w:eastAsia="仿宋_GB2312" w:cs="仿宋_GB2312"/>
                <w:sz w:val="24"/>
                <w:highlight w:val="none"/>
                <w:lang w:val="en-US" w:eastAsia="zh-CN"/>
              </w:rPr>
              <w:t>市发改委</w:t>
            </w:r>
          </w:p>
        </w:tc>
      </w:tr>
      <w:tr w14:paraId="733545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3" w:type="pct"/>
            <w:vMerge w:val="continue"/>
            <w:vAlign w:val="center"/>
          </w:tcPr>
          <w:p w14:paraId="7D27DAD6">
            <w:pPr>
              <w:spacing w:line="254" w:lineRule="exact"/>
              <w:jc w:val="center"/>
              <w:rPr>
                <w:rFonts w:ascii="仿宋_GB2312" w:hAnsi="仿宋_GB2312" w:eastAsia="仿宋_GB2312" w:cs="仿宋_GB2312"/>
                <w:sz w:val="24"/>
                <w:szCs w:val="24"/>
                <w:highlight w:val="none"/>
              </w:rPr>
            </w:pPr>
          </w:p>
        </w:tc>
        <w:tc>
          <w:tcPr>
            <w:tcW w:w="259" w:type="pct"/>
            <w:vMerge w:val="continue"/>
            <w:vAlign w:val="center"/>
          </w:tcPr>
          <w:p w14:paraId="47D0DDC2">
            <w:pPr>
              <w:spacing w:line="254" w:lineRule="exact"/>
              <w:jc w:val="center"/>
              <w:rPr>
                <w:rFonts w:hint="eastAsia" w:ascii="仿宋_GB2312" w:hAnsi="仿宋_GB2312" w:eastAsia="仿宋_GB2312" w:cs="仿宋_GB2312"/>
                <w:sz w:val="24"/>
                <w:szCs w:val="24"/>
                <w:highlight w:val="none"/>
                <w:lang w:val="en-US" w:eastAsia="zh-CN"/>
              </w:rPr>
            </w:pPr>
          </w:p>
        </w:tc>
        <w:tc>
          <w:tcPr>
            <w:tcW w:w="2355" w:type="pct"/>
            <w:vAlign w:val="center"/>
          </w:tcPr>
          <w:p w14:paraId="3ADF8598">
            <w:pPr>
              <w:spacing w:line="254" w:lineRule="exact"/>
              <w:jc w:val="left"/>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开展重点行业企业绩效提级行动</w:t>
            </w:r>
            <w:r>
              <w:rPr>
                <w:rFonts w:hint="eastAsia" w:ascii="仿宋_GB2312" w:hAnsi="仿宋_GB2312" w:eastAsia="仿宋_GB2312" w:cs="仿宋_GB2312"/>
                <w:sz w:val="24"/>
                <w:szCs w:val="24"/>
                <w:highlight w:val="none"/>
                <w:lang w:eastAsia="zh-CN"/>
              </w:rPr>
              <w:t>，</w:t>
            </w:r>
            <w:r>
              <w:rPr>
                <w:rFonts w:hint="eastAsia" w:ascii="仿宋_GB2312" w:hAnsi="仿宋_GB2312" w:eastAsia="仿宋_GB2312" w:cs="仿宋_GB2312"/>
                <w:sz w:val="24"/>
                <w:szCs w:val="24"/>
                <w:highlight w:val="none"/>
              </w:rPr>
              <w:t>分批次创建环保绩效B</w:t>
            </w:r>
            <w:r>
              <w:rPr>
                <w:rFonts w:hint="eastAsia" w:ascii="仿宋_GB2312" w:hAnsi="仿宋_GB2312" w:eastAsia="仿宋_GB2312" w:cs="仿宋_GB2312"/>
                <w:sz w:val="24"/>
                <w:szCs w:val="24"/>
                <w:highlight w:val="none"/>
                <w:lang w:eastAsia="zh-CN"/>
              </w:rPr>
              <w:t>（</w:t>
            </w:r>
            <w:r>
              <w:rPr>
                <w:rFonts w:hint="eastAsia" w:ascii="仿宋_GB2312" w:hAnsi="仿宋_GB2312" w:eastAsia="仿宋_GB2312" w:cs="仿宋_GB2312"/>
                <w:sz w:val="24"/>
                <w:szCs w:val="24"/>
                <w:highlight w:val="none"/>
                <w:lang w:val="en-US" w:eastAsia="zh-CN"/>
              </w:rPr>
              <w:t>含B-</w:t>
            </w:r>
            <w:r>
              <w:rPr>
                <w:rFonts w:hint="eastAsia" w:ascii="仿宋_GB2312" w:hAnsi="仿宋_GB2312" w:eastAsia="仿宋_GB2312" w:cs="仿宋_GB2312"/>
                <w:sz w:val="24"/>
                <w:szCs w:val="24"/>
                <w:highlight w:val="none"/>
                <w:lang w:eastAsia="zh-CN"/>
              </w:rPr>
              <w:t>）</w:t>
            </w:r>
            <w:r>
              <w:rPr>
                <w:rFonts w:hint="eastAsia" w:ascii="仿宋_GB2312" w:hAnsi="仿宋_GB2312" w:eastAsia="仿宋_GB2312" w:cs="仿宋_GB2312"/>
                <w:sz w:val="24"/>
                <w:szCs w:val="24"/>
                <w:highlight w:val="none"/>
              </w:rPr>
              <w:t>级</w:t>
            </w:r>
            <w:r>
              <w:rPr>
                <w:rFonts w:hint="eastAsia" w:ascii="仿宋_GB2312" w:hAnsi="仿宋_GB2312" w:eastAsia="仿宋_GB2312" w:cs="仿宋_GB2312"/>
                <w:sz w:val="24"/>
                <w:szCs w:val="24"/>
                <w:highlight w:val="none"/>
                <w:lang w:val="en-US" w:eastAsia="zh-CN"/>
              </w:rPr>
              <w:t>及</w:t>
            </w:r>
            <w:r>
              <w:rPr>
                <w:rFonts w:hint="eastAsia" w:ascii="仿宋_GB2312" w:hAnsi="仿宋_GB2312" w:eastAsia="仿宋_GB2312" w:cs="仿宋_GB2312"/>
                <w:sz w:val="24"/>
                <w:szCs w:val="24"/>
                <w:highlight w:val="none"/>
              </w:rPr>
              <w:t>以上企业10家。</w:t>
            </w:r>
          </w:p>
        </w:tc>
        <w:tc>
          <w:tcPr>
            <w:tcW w:w="627" w:type="pct"/>
            <w:vAlign w:val="center"/>
          </w:tcPr>
          <w:p w14:paraId="107A896D">
            <w:pPr>
              <w:spacing w:line="254" w:lineRule="exact"/>
              <w:jc w:val="center"/>
              <w:rPr>
                <w:rFonts w:hint="default" w:ascii="仿宋_GB2312" w:hAnsi="仿宋_GB2312" w:eastAsia="仿宋_GB2312" w:cs="仿宋_GB2312"/>
                <w:sz w:val="24"/>
                <w:szCs w:val="24"/>
                <w:highlight w:val="none"/>
                <w:lang w:val="en-US" w:eastAsia="zh-CN"/>
              </w:rPr>
            </w:pPr>
            <w:r>
              <w:rPr>
                <w:rFonts w:hint="eastAsia" w:ascii="仿宋_GB2312" w:hAnsi="仿宋_GB2312" w:eastAsia="仿宋_GB2312" w:cs="仿宋_GB2312"/>
                <w:sz w:val="24"/>
                <w:szCs w:val="24"/>
                <w:highlight w:val="none"/>
                <w:lang w:val="en-US" w:eastAsia="zh-CN"/>
              </w:rPr>
              <w:t>2026年</w:t>
            </w:r>
          </w:p>
        </w:tc>
        <w:tc>
          <w:tcPr>
            <w:tcW w:w="680" w:type="pct"/>
            <w:vAlign w:val="center"/>
          </w:tcPr>
          <w:p w14:paraId="51BD1F46">
            <w:pPr>
              <w:spacing w:line="254" w:lineRule="exact"/>
              <w:jc w:val="center"/>
              <w:rPr>
                <w:rFonts w:hint="eastAsia" w:ascii="仿宋_GB2312" w:hAnsi="仿宋_GB2312" w:eastAsia="仿宋_GB2312" w:cs="仿宋_GB2312"/>
                <w:sz w:val="24"/>
                <w:szCs w:val="24"/>
                <w:highlight w:val="none"/>
                <w:lang w:val="en-US" w:eastAsia="zh-CN"/>
              </w:rPr>
            </w:pPr>
            <w:r>
              <w:rPr>
                <w:rFonts w:hint="eastAsia" w:ascii="仿宋_GB2312" w:hAnsi="仿宋_GB2312" w:eastAsia="仿宋_GB2312" w:cs="仿宋_GB2312"/>
                <w:sz w:val="24"/>
                <w:szCs w:val="24"/>
                <w:highlight w:val="none"/>
              </w:rPr>
              <w:t>市生态环境局</w:t>
            </w:r>
          </w:p>
        </w:tc>
        <w:tc>
          <w:tcPr>
            <w:tcW w:w="923" w:type="pct"/>
            <w:vAlign w:val="center"/>
          </w:tcPr>
          <w:p w14:paraId="397425E8">
            <w:pPr>
              <w:spacing w:line="254" w:lineRule="exact"/>
              <w:jc w:val="center"/>
              <w:rPr>
                <w:rFonts w:hint="eastAsia" w:ascii="仿宋_GB2312" w:hAnsi="仿宋_GB2312" w:eastAsia="仿宋_GB2312" w:cs="仿宋_GB2312"/>
                <w:sz w:val="24"/>
                <w:highlight w:val="none"/>
                <w:lang w:val="en-US" w:eastAsia="zh-CN"/>
              </w:rPr>
            </w:pPr>
            <w:r>
              <w:rPr>
                <w:rFonts w:hint="eastAsia" w:ascii="仿宋_GB2312" w:hAnsi="仿宋_GB2312" w:eastAsia="仿宋_GB2312" w:cs="仿宋_GB2312"/>
                <w:sz w:val="24"/>
                <w:highlight w:val="none"/>
                <w:lang w:val="en-US" w:eastAsia="zh-CN"/>
              </w:rPr>
              <w:t>市发改委、市经信局</w:t>
            </w:r>
          </w:p>
        </w:tc>
      </w:tr>
      <w:tr w14:paraId="37ABD5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3" w:type="pct"/>
            <w:vMerge w:val="continue"/>
            <w:vAlign w:val="center"/>
          </w:tcPr>
          <w:p w14:paraId="39008F0C">
            <w:pPr>
              <w:spacing w:line="254" w:lineRule="exact"/>
              <w:jc w:val="center"/>
              <w:rPr>
                <w:rFonts w:ascii="仿宋_GB2312" w:hAnsi="仿宋_GB2312" w:eastAsia="仿宋_GB2312" w:cs="仿宋_GB2312"/>
                <w:sz w:val="24"/>
                <w:szCs w:val="24"/>
                <w:highlight w:val="none"/>
              </w:rPr>
            </w:pPr>
          </w:p>
        </w:tc>
        <w:tc>
          <w:tcPr>
            <w:tcW w:w="259" w:type="pct"/>
            <w:vMerge w:val="continue"/>
            <w:vAlign w:val="center"/>
          </w:tcPr>
          <w:p w14:paraId="5446D016">
            <w:pPr>
              <w:spacing w:line="254" w:lineRule="exact"/>
              <w:jc w:val="center"/>
              <w:rPr>
                <w:rFonts w:ascii="仿宋_GB2312" w:hAnsi="仿宋_GB2312" w:eastAsia="仿宋_GB2312" w:cs="仿宋_GB2312"/>
                <w:sz w:val="24"/>
                <w:szCs w:val="24"/>
                <w:highlight w:val="none"/>
              </w:rPr>
            </w:pPr>
          </w:p>
        </w:tc>
        <w:tc>
          <w:tcPr>
            <w:tcW w:w="2355" w:type="pct"/>
            <w:vAlign w:val="center"/>
          </w:tcPr>
          <w:p w14:paraId="322B764B">
            <w:pPr>
              <w:spacing w:line="254" w:lineRule="exact"/>
              <w:jc w:val="left"/>
              <w:rPr>
                <w:rFonts w:hint="default" w:ascii="仿宋_GB2312" w:hAnsi="仿宋_GB2312" w:eastAsia="仿宋_GB2312" w:cs="仿宋_GB2312"/>
                <w:sz w:val="24"/>
                <w:szCs w:val="24"/>
                <w:highlight w:val="none"/>
                <w:lang w:val="en-US" w:eastAsia="zh-CN"/>
              </w:rPr>
            </w:pPr>
            <w:r>
              <w:rPr>
                <w:rFonts w:hint="eastAsia" w:ascii="仿宋_GB2312" w:hAnsi="仿宋_GB2312" w:eastAsia="仿宋_GB2312" w:cs="仿宋_GB2312"/>
                <w:sz w:val="24"/>
                <w:szCs w:val="24"/>
                <w:highlight w:val="none"/>
              </w:rPr>
              <w:t>加快淘汰高排放汽车和非道路移动机械，全面淘汰国三及以下营运柴油货车</w:t>
            </w:r>
            <w:r>
              <w:rPr>
                <w:rFonts w:hint="eastAsia" w:ascii="仿宋_GB2312" w:hAnsi="仿宋_GB2312" w:eastAsia="仿宋_GB2312" w:cs="仿宋_GB2312"/>
                <w:sz w:val="24"/>
                <w:szCs w:val="24"/>
                <w:highlight w:val="none"/>
                <w:lang w:eastAsia="zh-CN"/>
              </w:rPr>
              <w:t>。</w:t>
            </w:r>
            <w:r>
              <w:rPr>
                <w:rFonts w:hint="eastAsia" w:ascii="仿宋_GB2312" w:hAnsi="仿宋_GB2312" w:eastAsia="仿宋_GB2312" w:cs="仿宋_GB2312"/>
                <w:sz w:val="24"/>
                <w:szCs w:val="24"/>
                <w:highlight w:val="none"/>
              </w:rPr>
              <w:t>加强国四及以下柴油货车禁限行区管控</w:t>
            </w:r>
            <w:r>
              <w:rPr>
                <w:rFonts w:hint="eastAsia" w:ascii="仿宋_GB2312" w:hAnsi="仿宋_GB2312" w:eastAsia="仿宋_GB2312" w:cs="仿宋_GB2312"/>
                <w:sz w:val="24"/>
                <w:szCs w:val="24"/>
                <w:highlight w:val="none"/>
                <w:lang w:eastAsia="zh-CN"/>
              </w:rPr>
              <w:t>，有序</w:t>
            </w:r>
            <w:r>
              <w:rPr>
                <w:rFonts w:hint="eastAsia" w:ascii="仿宋_GB2312" w:hAnsi="仿宋_GB2312" w:eastAsia="仿宋_GB2312" w:cs="仿宋_GB2312"/>
                <w:sz w:val="24"/>
                <w:szCs w:val="24"/>
                <w:highlight w:val="none"/>
                <w:lang w:val="en-US" w:eastAsia="zh-CN"/>
              </w:rPr>
              <w:t>淘汰国四营运货车60台。</w:t>
            </w:r>
          </w:p>
        </w:tc>
        <w:tc>
          <w:tcPr>
            <w:tcW w:w="627" w:type="pct"/>
            <w:vAlign w:val="center"/>
          </w:tcPr>
          <w:p w14:paraId="4721B33A">
            <w:pPr>
              <w:spacing w:line="254" w:lineRule="exact"/>
              <w:jc w:val="center"/>
              <w:rPr>
                <w:rFonts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lang w:val="en-US" w:eastAsia="zh-CN"/>
              </w:rPr>
              <w:t>2026年</w:t>
            </w:r>
          </w:p>
        </w:tc>
        <w:tc>
          <w:tcPr>
            <w:tcW w:w="680" w:type="pct"/>
            <w:vAlign w:val="center"/>
          </w:tcPr>
          <w:p w14:paraId="0CA7500A">
            <w:pPr>
              <w:spacing w:line="254" w:lineRule="exact"/>
              <w:jc w:val="center"/>
              <w:rPr>
                <w:rFonts w:hint="eastAsia" w:ascii="仿宋_GB2312" w:hAnsi="仿宋_GB2312" w:eastAsia="仿宋_GB2312" w:cs="仿宋_GB2312"/>
                <w:sz w:val="24"/>
                <w:szCs w:val="24"/>
                <w:highlight w:val="none"/>
                <w:lang w:val="en-US" w:eastAsia="zh-CN"/>
              </w:rPr>
            </w:pPr>
            <w:r>
              <w:rPr>
                <w:rFonts w:hint="eastAsia" w:ascii="仿宋_GB2312" w:hAnsi="仿宋_GB2312" w:eastAsia="仿宋_GB2312" w:cs="仿宋_GB2312"/>
                <w:sz w:val="24"/>
                <w:szCs w:val="24"/>
                <w:highlight w:val="none"/>
                <w:lang w:val="en-US" w:eastAsia="zh-CN"/>
              </w:rPr>
              <w:t>市交通运输局</w:t>
            </w:r>
          </w:p>
        </w:tc>
        <w:tc>
          <w:tcPr>
            <w:tcW w:w="923" w:type="pct"/>
            <w:vAlign w:val="center"/>
          </w:tcPr>
          <w:p w14:paraId="21DAFC29">
            <w:pPr>
              <w:spacing w:line="254" w:lineRule="exact"/>
              <w:jc w:val="center"/>
              <w:rPr>
                <w:rFonts w:hint="eastAsia" w:ascii="仿宋_GB2312" w:hAnsi="仿宋_GB2312" w:eastAsia="仿宋_GB2312" w:cs="仿宋_GB2312"/>
                <w:sz w:val="24"/>
                <w:szCs w:val="24"/>
                <w:highlight w:val="none"/>
                <w:lang w:val="en-US" w:eastAsia="zh-CN"/>
              </w:rPr>
            </w:pPr>
            <w:r>
              <w:rPr>
                <w:rFonts w:hint="eastAsia" w:ascii="仿宋_GB2312" w:hAnsi="仿宋_GB2312" w:eastAsia="仿宋_GB2312" w:cs="仿宋_GB2312"/>
                <w:sz w:val="24"/>
                <w:szCs w:val="24"/>
                <w:highlight w:val="none"/>
                <w:lang w:val="en-US" w:eastAsia="zh-CN"/>
              </w:rPr>
              <w:t>市发改委、</w:t>
            </w:r>
            <w:r>
              <w:rPr>
                <w:rFonts w:hint="eastAsia" w:ascii="仿宋_GB2312" w:hAnsi="仿宋_GB2312" w:eastAsia="仿宋_GB2312" w:cs="仿宋_GB2312"/>
                <w:sz w:val="24"/>
                <w:highlight w:val="none"/>
                <w:lang w:val="en-US" w:eastAsia="zh-CN"/>
              </w:rPr>
              <w:t>市经信局、</w:t>
            </w:r>
            <w:r>
              <w:rPr>
                <w:rFonts w:hint="eastAsia" w:ascii="仿宋_GB2312" w:hAnsi="仿宋_GB2312" w:eastAsia="仿宋_GB2312" w:cs="仿宋_GB2312"/>
                <w:sz w:val="24"/>
                <w:szCs w:val="24"/>
                <w:highlight w:val="none"/>
                <w:lang w:val="en-US" w:eastAsia="zh-CN"/>
              </w:rPr>
              <w:t>市公安局、市生态环境局、市商务局</w:t>
            </w:r>
          </w:p>
        </w:tc>
      </w:tr>
      <w:tr w14:paraId="6DB42A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3" w:type="pct"/>
            <w:vMerge w:val="continue"/>
            <w:vAlign w:val="center"/>
          </w:tcPr>
          <w:p w14:paraId="0ABCB672">
            <w:pPr>
              <w:spacing w:line="254" w:lineRule="exact"/>
              <w:jc w:val="center"/>
              <w:rPr>
                <w:rFonts w:ascii="仿宋_GB2312" w:hAnsi="仿宋_GB2312" w:eastAsia="仿宋_GB2312" w:cs="仿宋_GB2312"/>
                <w:sz w:val="24"/>
                <w:szCs w:val="24"/>
                <w:highlight w:val="none"/>
              </w:rPr>
            </w:pPr>
          </w:p>
        </w:tc>
        <w:tc>
          <w:tcPr>
            <w:tcW w:w="259" w:type="pct"/>
            <w:vMerge w:val="continue"/>
            <w:vAlign w:val="center"/>
          </w:tcPr>
          <w:p w14:paraId="142E075F">
            <w:pPr>
              <w:spacing w:line="254" w:lineRule="exact"/>
              <w:jc w:val="center"/>
              <w:rPr>
                <w:rFonts w:ascii="仿宋_GB2312" w:hAnsi="仿宋_GB2312" w:eastAsia="仿宋_GB2312" w:cs="仿宋_GB2312"/>
                <w:sz w:val="24"/>
                <w:szCs w:val="24"/>
                <w:highlight w:val="none"/>
              </w:rPr>
            </w:pPr>
          </w:p>
        </w:tc>
        <w:tc>
          <w:tcPr>
            <w:tcW w:w="2355" w:type="pct"/>
            <w:vAlign w:val="center"/>
          </w:tcPr>
          <w:p w14:paraId="36ACBF4F">
            <w:pPr>
              <w:spacing w:line="254" w:lineRule="exact"/>
              <w:jc w:val="left"/>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定期开展油烟、恶臭重点投诉案件调度，推广餐饮油烟“绿岛”深度治理，实施油烟治理设施智能监控。</w:t>
            </w:r>
          </w:p>
        </w:tc>
        <w:tc>
          <w:tcPr>
            <w:tcW w:w="627" w:type="pct"/>
            <w:vAlign w:val="center"/>
          </w:tcPr>
          <w:p w14:paraId="1ED8FFDB">
            <w:pPr>
              <w:spacing w:line="254" w:lineRule="exact"/>
              <w:jc w:val="center"/>
              <w:rPr>
                <w:rFonts w:hint="default" w:ascii="仿宋_GB2312" w:hAnsi="仿宋_GB2312" w:eastAsia="仿宋_GB2312" w:cs="仿宋_GB2312"/>
                <w:sz w:val="24"/>
                <w:szCs w:val="24"/>
                <w:highlight w:val="none"/>
                <w:lang w:val="en-US" w:eastAsia="zh-CN"/>
              </w:rPr>
            </w:pPr>
            <w:r>
              <w:rPr>
                <w:rFonts w:hint="eastAsia" w:ascii="仿宋_GB2312" w:hAnsi="仿宋_GB2312" w:eastAsia="仿宋_GB2312" w:cs="仿宋_GB2312"/>
                <w:sz w:val="24"/>
                <w:szCs w:val="24"/>
                <w:highlight w:val="none"/>
                <w:lang w:val="en-US" w:eastAsia="zh-CN"/>
              </w:rPr>
              <w:t>2030年</w:t>
            </w:r>
          </w:p>
        </w:tc>
        <w:tc>
          <w:tcPr>
            <w:tcW w:w="680" w:type="pct"/>
            <w:vAlign w:val="center"/>
          </w:tcPr>
          <w:p w14:paraId="25CE6539">
            <w:pPr>
              <w:spacing w:line="254" w:lineRule="exact"/>
              <w:jc w:val="center"/>
              <w:rPr>
                <w:rFonts w:hint="default" w:ascii="仿宋_GB2312" w:hAnsi="仿宋_GB2312" w:eastAsia="仿宋_GB2312" w:cs="仿宋_GB2312"/>
                <w:sz w:val="24"/>
                <w:szCs w:val="24"/>
                <w:highlight w:val="none"/>
                <w:lang w:val="en-US" w:eastAsia="zh-CN"/>
              </w:rPr>
            </w:pPr>
            <w:r>
              <w:rPr>
                <w:rFonts w:hint="eastAsia" w:ascii="仿宋_GB2312" w:hAnsi="仿宋_GB2312" w:eastAsia="仿宋_GB2312" w:cs="仿宋_GB2312"/>
                <w:sz w:val="24"/>
                <w:szCs w:val="24"/>
                <w:highlight w:val="none"/>
              </w:rPr>
              <w:t>市生态环境局</w:t>
            </w:r>
          </w:p>
        </w:tc>
        <w:tc>
          <w:tcPr>
            <w:tcW w:w="923" w:type="pct"/>
            <w:vAlign w:val="center"/>
          </w:tcPr>
          <w:p w14:paraId="7782B44D">
            <w:pPr>
              <w:spacing w:line="254" w:lineRule="exact"/>
              <w:jc w:val="center"/>
              <w:rPr>
                <w:rFonts w:hint="eastAsia" w:ascii="仿宋_GB2312" w:hAnsi="仿宋_GB2312" w:eastAsia="仿宋_GB2312" w:cs="仿宋_GB2312"/>
                <w:sz w:val="24"/>
                <w:szCs w:val="24"/>
                <w:highlight w:val="none"/>
                <w:lang w:val="en-US" w:eastAsia="zh-CN"/>
              </w:rPr>
            </w:pPr>
            <w:r>
              <w:rPr>
                <w:rFonts w:hint="eastAsia" w:ascii="仿宋_GB2312" w:hAnsi="仿宋_GB2312" w:eastAsia="仿宋_GB2312" w:cs="仿宋_GB2312"/>
                <w:sz w:val="24"/>
                <w:szCs w:val="24"/>
                <w:highlight w:val="none"/>
                <w:lang w:val="en-US" w:eastAsia="zh-CN"/>
              </w:rPr>
              <w:t>市城管委</w:t>
            </w:r>
          </w:p>
        </w:tc>
      </w:tr>
      <w:tr w14:paraId="7EA6BD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3" w:type="pct"/>
            <w:vMerge w:val="continue"/>
            <w:vAlign w:val="center"/>
          </w:tcPr>
          <w:p w14:paraId="4C917EF2">
            <w:pPr>
              <w:spacing w:line="254" w:lineRule="exact"/>
              <w:jc w:val="center"/>
              <w:rPr>
                <w:rFonts w:ascii="仿宋_GB2312" w:hAnsi="仿宋_GB2312" w:eastAsia="仿宋_GB2312" w:cs="仿宋_GB2312"/>
                <w:sz w:val="24"/>
                <w:szCs w:val="24"/>
                <w:highlight w:val="none"/>
              </w:rPr>
            </w:pPr>
          </w:p>
        </w:tc>
        <w:tc>
          <w:tcPr>
            <w:tcW w:w="259" w:type="pct"/>
            <w:vMerge w:val="continue"/>
            <w:vAlign w:val="center"/>
          </w:tcPr>
          <w:p w14:paraId="506A9944">
            <w:pPr>
              <w:spacing w:line="254" w:lineRule="exact"/>
              <w:jc w:val="center"/>
              <w:rPr>
                <w:rFonts w:ascii="仿宋_GB2312" w:hAnsi="仿宋_GB2312" w:eastAsia="仿宋_GB2312" w:cs="仿宋_GB2312"/>
                <w:sz w:val="24"/>
                <w:szCs w:val="24"/>
                <w:highlight w:val="none"/>
              </w:rPr>
            </w:pPr>
          </w:p>
        </w:tc>
        <w:tc>
          <w:tcPr>
            <w:tcW w:w="2355" w:type="pct"/>
            <w:vAlign w:val="center"/>
          </w:tcPr>
          <w:p w14:paraId="24DA59A5">
            <w:pPr>
              <w:spacing w:line="254" w:lineRule="exact"/>
              <w:jc w:val="left"/>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推行建筑工地“湿法作业”，推进城市建成区主次干道“吸扫冲收”一体化。</w:t>
            </w:r>
          </w:p>
        </w:tc>
        <w:tc>
          <w:tcPr>
            <w:tcW w:w="627" w:type="pct"/>
            <w:vAlign w:val="center"/>
          </w:tcPr>
          <w:p w14:paraId="168E5967">
            <w:pPr>
              <w:spacing w:line="254" w:lineRule="exact"/>
              <w:jc w:val="center"/>
              <w:rPr>
                <w:rFonts w:hint="default" w:ascii="仿宋_GB2312" w:hAnsi="仿宋_GB2312" w:eastAsia="仿宋_GB2312" w:cs="仿宋_GB2312"/>
                <w:sz w:val="24"/>
                <w:szCs w:val="24"/>
                <w:highlight w:val="none"/>
                <w:lang w:val="en-US" w:eastAsia="zh-CN"/>
              </w:rPr>
            </w:pPr>
            <w:r>
              <w:rPr>
                <w:rFonts w:hint="eastAsia" w:ascii="仿宋_GB2312" w:hAnsi="仿宋_GB2312" w:eastAsia="仿宋_GB2312" w:cs="仿宋_GB2312"/>
                <w:sz w:val="24"/>
                <w:szCs w:val="24"/>
                <w:highlight w:val="none"/>
                <w:lang w:val="en-US" w:eastAsia="zh-CN"/>
              </w:rPr>
              <w:t>持续开展</w:t>
            </w:r>
          </w:p>
        </w:tc>
        <w:tc>
          <w:tcPr>
            <w:tcW w:w="680" w:type="pct"/>
            <w:vAlign w:val="center"/>
          </w:tcPr>
          <w:p w14:paraId="2E96426A">
            <w:pPr>
              <w:spacing w:line="254" w:lineRule="exact"/>
              <w:jc w:val="center"/>
              <w:rPr>
                <w:rFonts w:hint="eastAsia" w:ascii="仿宋_GB2312" w:hAnsi="仿宋_GB2312" w:eastAsia="仿宋_GB2312" w:cs="仿宋_GB2312"/>
                <w:sz w:val="24"/>
                <w:szCs w:val="24"/>
                <w:highlight w:val="none"/>
                <w:lang w:val="en-US" w:eastAsia="zh-CN"/>
              </w:rPr>
            </w:pPr>
            <w:r>
              <w:rPr>
                <w:rFonts w:hint="eastAsia" w:ascii="仿宋_GB2312" w:hAnsi="仿宋_GB2312" w:eastAsia="仿宋_GB2312" w:cs="仿宋_GB2312"/>
                <w:sz w:val="24"/>
                <w:szCs w:val="24"/>
                <w:highlight w:val="none"/>
                <w:lang w:val="en-US" w:eastAsia="zh-CN"/>
              </w:rPr>
              <w:t>市住房和城市更新局、市自然资源和城乡建设局</w:t>
            </w:r>
          </w:p>
        </w:tc>
        <w:tc>
          <w:tcPr>
            <w:tcW w:w="923" w:type="pct"/>
            <w:vAlign w:val="center"/>
          </w:tcPr>
          <w:p w14:paraId="3F8CEECB">
            <w:pPr>
              <w:spacing w:line="254" w:lineRule="exact"/>
              <w:jc w:val="center"/>
              <w:rPr>
                <w:rFonts w:hint="eastAsia" w:ascii="仿宋_GB2312" w:hAnsi="仿宋_GB2312" w:eastAsia="仿宋_GB2312" w:cs="仿宋_GB2312"/>
                <w:sz w:val="24"/>
                <w:szCs w:val="24"/>
                <w:highlight w:val="none"/>
                <w:lang w:val="en-US" w:eastAsia="zh-CN"/>
              </w:rPr>
            </w:pPr>
            <w:r>
              <w:rPr>
                <w:rFonts w:hint="eastAsia" w:ascii="仿宋_GB2312" w:hAnsi="仿宋_GB2312" w:eastAsia="仿宋_GB2312" w:cs="仿宋_GB2312"/>
                <w:sz w:val="24"/>
                <w:szCs w:val="24"/>
                <w:highlight w:val="none"/>
                <w:lang w:val="en-US" w:eastAsia="zh-CN"/>
              </w:rPr>
              <w:t>市城管委</w:t>
            </w:r>
          </w:p>
        </w:tc>
      </w:tr>
      <w:tr w14:paraId="0AC090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3" w:type="pct"/>
            <w:vMerge w:val="continue"/>
            <w:vAlign w:val="center"/>
          </w:tcPr>
          <w:p w14:paraId="3BCB4313">
            <w:pPr>
              <w:spacing w:line="254" w:lineRule="exact"/>
              <w:jc w:val="center"/>
              <w:rPr>
                <w:rFonts w:ascii="仿宋_GB2312" w:hAnsi="仿宋_GB2312" w:eastAsia="仿宋_GB2312" w:cs="仿宋_GB2312"/>
                <w:sz w:val="24"/>
                <w:szCs w:val="24"/>
                <w:highlight w:val="none"/>
              </w:rPr>
            </w:pPr>
          </w:p>
        </w:tc>
        <w:tc>
          <w:tcPr>
            <w:tcW w:w="259" w:type="pct"/>
            <w:vMerge w:val="continue"/>
            <w:vAlign w:val="center"/>
          </w:tcPr>
          <w:p w14:paraId="524E5457">
            <w:pPr>
              <w:spacing w:line="254" w:lineRule="exact"/>
              <w:jc w:val="center"/>
              <w:rPr>
                <w:rFonts w:ascii="仿宋_GB2312" w:hAnsi="仿宋_GB2312" w:eastAsia="仿宋_GB2312" w:cs="仿宋_GB2312"/>
                <w:sz w:val="24"/>
                <w:szCs w:val="24"/>
                <w:highlight w:val="none"/>
              </w:rPr>
            </w:pPr>
          </w:p>
        </w:tc>
        <w:tc>
          <w:tcPr>
            <w:tcW w:w="2355" w:type="pct"/>
            <w:vAlign w:val="center"/>
          </w:tcPr>
          <w:p w14:paraId="6000C658">
            <w:pPr>
              <w:spacing w:line="254" w:lineRule="exact"/>
              <w:jc w:val="left"/>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加强区域联防联控，积极参与长江中游城市群、武汉都市圈大气污染联防联控。</w:t>
            </w:r>
          </w:p>
        </w:tc>
        <w:tc>
          <w:tcPr>
            <w:tcW w:w="627" w:type="pct"/>
            <w:vAlign w:val="center"/>
          </w:tcPr>
          <w:p w14:paraId="78AC3E1F">
            <w:pPr>
              <w:spacing w:line="254" w:lineRule="exact"/>
              <w:jc w:val="center"/>
              <w:rPr>
                <w:rFonts w:hint="eastAsia" w:ascii="仿宋_GB2312" w:hAnsi="仿宋_GB2312" w:eastAsia="仿宋_GB2312" w:cs="仿宋_GB2312"/>
                <w:sz w:val="24"/>
                <w:szCs w:val="24"/>
                <w:highlight w:val="none"/>
                <w:lang w:val="en-US" w:eastAsia="zh-CN"/>
              </w:rPr>
            </w:pPr>
            <w:r>
              <w:rPr>
                <w:rFonts w:hint="eastAsia" w:ascii="仿宋_GB2312" w:hAnsi="仿宋_GB2312" w:eastAsia="仿宋_GB2312" w:cs="仿宋_GB2312"/>
                <w:sz w:val="24"/>
                <w:szCs w:val="24"/>
                <w:highlight w:val="none"/>
                <w:lang w:val="en-US" w:eastAsia="zh-CN"/>
              </w:rPr>
              <w:t>持续开展</w:t>
            </w:r>
          </w:p>
        </w:tc>
        <w:tc>
          <w:tcPr>
            <w:tcW w:w="680" w:type="pct"/>
            <w:vAlign w:val="center"/>
          </w:tcPr>
          <w:p w14:paraId="597FB810">
            <w:pPr>
              <w:spacing w:line="254" w:lineRule="exact"/>
              <w:jc w:val="center"/>
              <w:rPr>
                <w:rFonts w:hint="eastAsia" w:ascii="仿宋_GB2312" w:hAnsi="仿宋_GB2312" w:eastAsia="仿宋_GB2312" w:cs="仿宋_GB2312"/>
                <w:sz w:val="24"/>
                <w:szCs w:val="24"/>
                <w:highlight w:val="none"/>
                <w:lang w:val="en-US" w:eastAsia="zh-CN"/>
              </w:rPr>
            </w:pPr>
            <w:r>
              <w:rPr>
                <w:rFonts w:hint="eastAsia" w:ascii="仿宋_GB2312" w:hAnsi="仿宋_GB2312" w:eastAsia="仿宋_GB2312" w:cs="仿宋_GB2312"/>
                <w:sz w:val="24"/>
                <w:szCs w:val="24"/>
                <w:highlight w:val="none"/>
              </w:rPr>
              <w:t>市生态环境局</w:t>
            </w:r>
          </w:p>
        </w:tc>
        <w:tc>
          <w:tcPr>
            <w:tcW w:w="923" w:type="pct"/>
            <w:vAlign w:val="center"/>
          </w:tcPr>
          <w:p w14:paraId="6A8A5207">
            <w:pPr>
              <w:spacing w:line="254" w:lineRule="exact"/>
              <w:jc w:val="center"/>
              <w:rPr>
                <w:rFonts w:hint="default" w:ascii="仿宋_GB2312" w:hAnsi="仿宋_GB2312" w:eastAsia="仿宋_GB2312" w:cs="仿宋_GB2312"/>
                <w:sz w:val="24"/>
                <w:szCs w:val="24"/>
                <w:highlight w:val="none"/>
                <w:lang w:val="en-US" w:eastAsia="zh-CN"/>
              </w:rPr>
            </w:pPr>
            <w:r>
              <w:rPr>
                <w:rFonts w:hint="eastAsia" w:ascii="仿宋_GB2312" w:hAnsi="仿宋_GB2312" w:eastAsia="仿宋_GB2312" w:cs="仿宋_GB2312"/>
                <w:sz w:val="24"/>
                <w:highlight w:val="none"/>
                <w:lang w:val="en-US" w:eastAsia="zh-CN"/>
              </w:rPr>
              <w:t>市经信局、</w:t>
            </w:r>
            <w:r>
              <w:rPr>
                <w:rFonts w:hint="eastAsia" w:ascii="仿宋_GB2312" w:hAnsi="仿宋_GB2312" w:eastAsia="仿宋_GB2312" w:cs="仿宋_GB2312"/>
                <w:sz w:val="24"/>
                <w:szCs w:val="24"/>
                <w:highlight w:val="none"/>
                <w:lang w:val="en-US" w:eastAsia="zh-CN"/>
              </w:rPr>
              <w:t>市交通运输局、市住房和城市更新局、市公安局、市气象局</w:t>
            </w:r>
          </w:p>
        </w:tc>
      </w:tr>
      <w:tr w14:paraId="1F08FD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53" w:type="pct"/>
            <w:vMerge w:val="continue"/>
            <w:vAlign w:val="center"/>
          </w:tcPr>
          <w:p w14:paraId="68724961">
            <w:pPr>
              <w:spacing w:line="254" w:lineRule="exact"/>
              <w:jc w:val="center"/>
              <w:rPr>
                <w:rFonts w:ascii="仿宋_GB2312" w:hAnsi="仿宋_GB2312" w:eastAsia="仿宋_GB2312" w:cs="仿宋_GB2312"/>
                <w:sz w:val="24"/>
                <w:szCs w:val="24"/>
                <w:highlight w:val="none"/>
              </w:rPr>
            </w:pPr>
          </w:p>
        </w:tc>
        <w:tc>
          <w:tcPr>
            <w:tcW w:w="259" w:type="pct"/>
            <w:vMerge w:val="restart"/>
            <w:vAlign w:val="center"/>
          </w:tcPr>
          <w:p w14:paraId="709889F6">
            <w:pPr>
              <w:spacing w:line="254" w:lineRule="exact"/>
              <w:jc w:val="center"/>
              <w:rPr>
                <w:rFonts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lang w:val="en-US" w:eastAsia="zh-CN"/>
              </w:rPr>
              <w:t>7.</w:t>
            </w:r>
            <w:r>
              <w:rPr>
                <w:rFonts w:hint="eastAsia" w:ascii="仿宋_GB2312" w:hAnsi="仿宋_GB2312" w:eastAsia="仿宋_GB2312" w:cs="仿宋_GB2312"/>
                <w:sz w:val="24"/>
                <w:szCs w:val="24"/>
                <w:highlight w:val="none"/>
              </w:rPr>
              <w:t>加强土壤污染防控与修复</w:t>
            </w:r>
          </w:p>
        </w:tc>
        <w:tc>
          <w:tcPr>
            <w:tcW w:w="2355" w:type="pct"/>
            <w:vAlign w:val="center"/>
          </w:tcPr>
          <w:p w14:paraId="5C783C2C">
            <w:pPr>
              <w:spacing w:line="254" w:lineRule="exact"/>
              <w:jc w:val="left"/>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按照</w:t>
            </w:r>
            <w:r>
              <w:rPr>
                <w:rFonts w:hint="eastAsia" w:ascii="仿宋_GB2312" w:hAnsi="仿宋_GB2312" w:eastAsia="仿宋_GB2312" w:cs="仿宋_GB2312"/>
                <w:sz w:val="24"/>
                <w:szCs w:val="24"/>
                <w:highlight w:val="none"/>
                <w:lang w:val="en-US" w:eastAsia="zh-CN"/>
              </w:rPr>
              <w:t>省</w:t>
            </w:r>
            <w:r>
              <w:rPr>
                <w:rFonts w:hint="eastAsia" w:ascii="仿宋_GB2312" w:hAnsi="仿宋_GB2312" w:eastAsia="仿宋_GB2312" w:cs="仿宋_GB2312"/>
                <w:sz w:val="24"/>
                <w:szCs w:val="24"/>
                <w:highlight w:val="none"/>
              </w:rPr>
              <w:t>生态环境厅下达任务</w:t>
            </w:r>
            <w:r>
              <w:rPr>
                <w:rFonts w:hint="eastAsia" w:ascii="仿宋_GB2312" w:hAnsi="仿宋_GB2312" w:eastAsia="仿宋_GB2312" w:cs="仿宋_GB2312"/>
                <w:sz w:val="24"/>
                <w:szCs w:val="24"/>
                <w:highlight w:val="none"/>
                <w:lang w:val="en-US" w:eastAsia="zh-CN"/>
              </w:rPr>
              <w:t>完成土壤污染</w:t>
            </w:r>
            <w:r>
              <w:rPr>
                <w:rFonts w:hint="eastAsia" w:ascii="仿宋_GB2312" w:hAnsi="仿宋_GB2312" w:eastAsia="仿宋_GB2312" w:cs="仿宋_GB2312"/>
                <w:sz w:val="24"/>
                <w:szCs w:val="24"/>
                <w:highlight w:val="none"/>
              </w:rPr>
              <w:t>重点监管单位</w:t>
            </w:r>
            <w:r>
              <w:rPr>
                <w:rFonts w:hint="eastAsia" w:ascii="仿宋_GB2312" w:hAnsi="仿宋_GB2312" w:eastAsia="仿宋_GB2312" w:cs="仿宋_GB2312"/>
                <w:sz w:val="24"/>
                <w:szCs w:val="24"/>
                <w:highlight w:val="none"/>
                <w:lang w:val="en-US" w:eastAsia="zh-CN"/>
              </w:rPr>
              <w:t>隐患排查</w:t>
            </w:r>
            <w:r>
              <w:rPr>
                <w:rFonts w:hint="eastAsia" w:ascii="仿宋_GB2312" w:hAnsi="仿宋_GB2312" w:eastAsia="仿宋_GB2312" w:cs="仿宋_GB2312"/>
                <w:sz w:val="24"/>
                <w:szCs w:val="24"/>
                <w:highlight w:val="none"/>
              </w:rPr>
              <w:t>。</w:t>
            </w:r>
          </w:p>
        </w:tc>
        <w:tc>
          <w:tcPr>
            <w:tcW w:w="627" w:type="pct"/>
            <w:vAlign w:val="center"/>
          </w:tcPr>
          <w:p w14:paraId="58A445B9">
            <w:pPr>
              <w:spacing w:line="254" w:lineRule="exact"/>
              <w:jc w:val="center"/>
              <w:rPr>
                <w:rFonts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2026年</w:t>
            </w:r>
          </w:p>
        </w:tc>
        <w:tc>
          <w:tcPr>
            <w:tcW w:w="680" w:type="pct"/>
            <w:vAlign w:val="center"/>
          </w:tcPr>
          <w:p w14:paraId="6DC27836">
            <w:pPr>
              <w:spacing w:line="254" w:lineRule="exact"/>
              <w:jc w:val="center"/>
              <w:rPr>
                <w:rFonts w:hint="eastAsia" w:ascii="仿宋_GB2312" w:hAnsi="仿宋_GB2312" w:eastAsia="仿宋_GB2312" w:cs="仿宋_GB2312"/>
                <w:sz w:val="24"/>
                <w:szCs w:val="24"/>
                <w:highlight w:val="none"/>
                <w:lang w:val="en-US" w:eastAsia="zh-CN"/>
              </w:rPr>
            </w:pPr>
            <w:r>
              <w:rPr>
                <w:rFonts w:hint="eastAsia" w:ascii="仿宋_GB2312" w:hAnsi="仿宋_GB2312" w:eastAsia="仿宋_GB2312" w:cs="仿宋_GB2312"/>
                <w:sz w:val="24"/>
                <w:szCs w:val="24"/>
                <w:highlight w:val="none"/>
              </w:rPr>
              <w:t>市生态环境局</w:t>
            </w:r>
          </w:p>
        </w:tc>
        <w:tc>
          <w:tcPr>
            <w:tcW w:w="923" w:type="pct"/>
            <w:vAlign w:val="center"/>
          </w:tcPr>
          <w:p w14:paraId="5F209144">
            <w:pPr>
              <w:spacing w:line="254" w:lineRule="exact"/>
              <w:jc w:val="center"/>
              <w:rPr>
                <w:rFonts w:hint="default" w:ascii="仿宋_GB2312" w:hAnsi="仿宋_GB2312" w:eastAsia="仿宋_GB2312" w:cs="仿宋_GB2312"/>
                <w:sz w:val="24"/>
                <w:szCs w:val="24"/>
                <w:highlight w:val="none"/>
                <w:lang w:val="en-US" w:eastAsia="zh-CN"/>
              </w:rPr>
            </w:pPr>
            <w:r>
              <w:rPr>
                <w:rFonts w:hint="eastAsia" w:ascii="仿宋_GB2312" w:hAnsi="仿宋_GB2312" w:eastAsia="仿宋_GB2312" w:cs="仿宋_GB2312"/>
                <w:sz w:val="24"/>
                <w:szCs w:val="24"/>
                <w:highlight w:val="none"/>
                <w:lang w:val="en-US" w:eastAsia="zh-CN"/>
              </w:rPr>
              <w:t>市自然资源和城乡建设局</w:t>
            </w:r>
          </w:p>
        </w:tc>
      </w:tr>
      <w:tr w14:paraId="321A42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3" w:type="pct"/>
            <w:vMerge w:val="continue"/>
            <w:vAlign w:val="center"/>
          </w:tcPr>
          <w:p w14:paraId="01DA1C8E">
            <w:pPr>
              <w:spacing w:line="254" w:lineRule="exact"/>
              <w:jc w:val="center"/>
              <w:rPr>
                <w:rFonts w:ascii="仿宋_GB2312" w:hAnsi="仿宋_GB2312" w:eastAsia="仿宋_GB2312" w:cs="仿宋_GB2312"/>
                <w:sz w:val="24"/>
                <w:szCs w:val="24"/>
                <w:highlight w:val="none"/>
              </w:rPr>
            </w:pPr>
          </w:p>
        </w:tc>
        <w:tc>
          <w:tcPr>
            <w:tcW w:w="259" w:type="pct"/>
            <w:vMerge w:val="continue"/>
            <w:vAlign w:val="center"/>
          </w:tcPr>
          <w:p w14:paraId="5390C4EC">
            <w:pPr>
              <w:spacing w:line="254" w:lineRule="exact"/>
              <w:jc w:val="center"/>
              <w:rPr>
                <w:rFonts w:ascii="仿宋_GB2312" w:hAnsi="仿宋_GB2312" w:eastAsia="仿宋_GB2312" w:cs="仿宋_GB2312"/>
                <w:sz w:val="24"/>
                <w:szCs w:val="24"/>
                <w:highlight w:val="none"/>
              </w:rPr>
            </w:pPr>
          </w:p>
        </w:tc>
        <w:tc>
          <w:tcPr>
            <w:tcW w:w="2355" w:type="pct"/>
            <w:vAlign w:val="center"/>
          </w:tcPr>
          <w:p w14:paraId="53C2717D">
            <w:pPr>
              <w:spacing w:line="254" w:lineRule="exact"/>
              <w:jc w:val="left"/>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严格建设用地准入管理，将符合条件的污染地块优先用于生态空间拓展。加强建设用地用途变更和污染地块风险管控联动，确保重点建设用地安全利用率稳定达到100%。</w:t>
            </w:r>
          </w:p>
        </w:tc>
        <w:tc>
          <w:tcPr>
            <w:tcW w:w="627" w:type="pct"/>
            <w:vAlign w:val="center"/>
          </w:tcPr>
          <w:p w14:paraId="408F4A0B">
            <w:pPr>
              <w:spacing w:line="254" w:lineRule="exact"/>
              <w:jc w:val="center"/>
              <w:rPr>
                <w:rFonts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lang w:val="en-US" w:eastAsia="zh-CN"/>
              </w:rPr>
              <w:t>持续开展</w:t>
            </w:r>
          </w:p>
        </w:tc>
        <w:tc>
          <w:tcPr>
            <w:tcW w:w="680" w:type="pct"/>
            <w:vAlign w:val="center"/>
          </w:tcPr>
          <w:p w14:paraId="2EDD253D">
            <w:pPr>
              <w:spacing w:line="254" w:lineRule="exact"/>
              <w:jc w:val="center"/>
              <w:rPr>
                <w:rFonts w:hint="eastAsia" w:ascii="仿宋_GB2312" w:hAnsi="仿宋_GB2312" w:eastAsia="仿宋_GB2312" w:cs="仿宋_GB2312"/>
                <w:sz w:val="24"/>
                <w:szCs w:val="24"/>
                <w:highlight w:val="none"/>
                <w:lang w:val="en-US" w:eastAsia="zh-CN"/>
              </w:rPr>
            </w:pPr>
            <w:r>
              <w:rPr>
                <w:rFonts w:hint="eastAsia" w:ascii="仿宋_GB2312" w:hAnsi="仿宋_GB2312" w:eastAsia="仿宋_GB2312" w:cs="仿宋_GB2312"/>
                <w:sz w:val="24"/>
                <w:szCs w:val="24"/>
                <w:highlight w:val="none"/>
              </w:rPr>
              <w:t>市生态环境局</w:t>
            </w:r>
            <w:r>
              <w:rPr>
                <w:rFonts w:hint="eastAsia" w:ascii="仿宋_GB2312" w:hAnsi="仿宋_GB2312" w:eastAsia="仿宋_GB2312" w:cs="仿宋_GB2312"/>
                <w:sz w:val="24"/>
                <w:szCs w:val="24"/>
                <w:highlight w:val="none"/>
                <w:lang w:eastAsia="zh-CN"/>
              </w:rPr>
              <w:t>、</w:t>
            </w:r>
            <w:r>
              <w:rPr>
                <w:rFonts w:hint="eastAsia" w:ascii="仿宋_GB2312" w:hAnsi="仿宋_GB2312" w:eastAsia="仿宋_GB2312" w:cs="仿宋_GB2312"/>
                <w:sz w:val="24"/>
                <w:szCs w:val="24"/>
                <w:highlight w:val="none"/>
              </w:rPr>
              <w:t>市自然资源和城乡建设局</w:t>
            </w:r>
          </w:p>
        </w:tc>
        <w:tc>
          <w:tcPr>
            <w:tcW w:w="923" w:type="pct"/>
            <w:vAlign w:val="center"/>
          </w:tcPr>
          <w:p w14:paraId="1DD60F90">
            <w:pPr>
              <w:spacing w:line="254" w:lineRule="exact"/>
              <w:jc w:val="center"/>
              <w:rPr>
                <w:rFonts w:hint="default" w:ascii="仿宋_GB2312" w:hAnsi="仿宋_GB2312" w:eastAsia="仿宋_GB2312" w:cs="仿宋_GB2312"/>
                <w:sz w:val="24"/>
                <w:szCs w:val="24"/>
                <w:highlight w:val="none"/>
                <w:lang w:val="en-US" w:eastAsia="zh-CN"/>
              </w:rPr>
            </w:pPr>
            <w:r>
              <w:rPr>
                <w:rFonts w:hint="eastAsia" w:ascii="仿宋_GB2312" w:hAnsi="仿宋_GB2312" w:eastAsia="仿宋_GB2312" w:cs="仿宋_GB2312"/>
                <w:sz w:val="24"/>
                <w:szCs w:val="24"/>
                <w:highlight w:val="none"/>
                <w:lang w:val="en-US" w:eastAsia="zh-CN"/>
              </w:rPr>
              <w:t>市住房和城市更新局</w:t>
            </w:r>
          </w:p>
        </w:tc>
      </w:tr>
      <w:tr w14:paraId="59EA70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3" w:type="pct"/>
            <w:vMerge w:val="continue"/>
            <w:vAlign w:val="center"/>
          </w:tcPr>
          <w:p w14:paraId="7B61455B">
            <w:pPr>
              <w:spacing w:line="254" w:lineRule="exact"/>
              <w:jc w:val="center"/>
              <w:rPr>
                <w:rFonts w:ascii="仿宋_GB2312" w:hAnsi="仿宋_GB2312" w:eastAsia="仿宋_GB2312" w:cs="仿宋_GB2312"/>
                <w:sz w:val="24"/>
                <w:szCs w:val="24"/>
                <w:highlight w:val="none"/>
              </w:rPr>
            </w:pPr>
          </w:p>
        </w:tc>
        <w:tc>
          <w:tcPr>
            <w:tcW w:w="259" w:type="pct"/>
            <w:vMerge w:val="continue"/>
            <w:vAlign w:val="center"/>
          </w:tcPr>
          <w:p w14:paraId="1EA39AD4">
            <w:pPr>
              <w:spacing w:line="254" w:lineRule="exact"/>
              <w:jc w:val="center"/>
              <w:rPr>
                <w:rFonts w:ascii="仿宋_GB2312" w:hAnsi="仿宋_GB2312" w:eastAsia="仿宋_GB2312" w:cs="仿宋_GB2312"/>
                <w:sz w:val="24"/>
                <w:szCs w:val="24"/>
                <w:highlight w:val="none"/>
              </w:rPr>
            </w:pPr>
          </w:p>
        </w:tc>
        <w:tc>
          <w:tcPr>
            <w:tcW w:w="2355" w:type="pct"/>
            <w:vAlign w:val="center"/>
          </w:tcPr>
          <w:p w14:paraId="4ADB7567">
            <w:pPr>
              <w:spacing w:line="254" w:lineRule="exact"/>
              <w:jc w:val="left"/>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统筹推进土壤与地下水协同防治，实施地下水环境分区管理、分级防治。</w:t>
            </w:r>
          </w:p>
        </w:tc>
        <w:tc>
          <w:tcPr>
            <w:tcW w:w="627" w:type="pct"/>
            <w:vAlign w:val="center"/>
          </w:tcPr>
          <w:p w14:paraId="12348214">
            <w:pPr>
              <w:spacing w:line="254" w:lineRule="exact"/>
              <w:jc w:val="center"/>
              <w:rPr>
                <w:rFonts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lang w:val="en-US" w:eastAsia="zh-CN"/>
              </w:rPr>
              <w:t>持续开展</w:t>
            </w:r>
          </w:p>
        </w:tc>
        <w:tc>
          <w:tcPr>
            <w:tcW w:w="680" w:type="pct"/>
            <w:vAlign w:val="center"/>
          </w:tcPr>
          <w:p w14:paraId="0AF4FF2C">
            <w:pPr>
              <w:spacing w:line="254" w:lineRule="exact"/>
              <w:jc w:val="center"/>
              <w:rPr>
                <w:rFonts w:hint="eastAsia" w:ascii="仿宋_GB2312" w:hAnsi="仿宋_GB2312" w:eastAsia="仿宋_GB2312" w:cs="仿宋_GB2312"/>
                <w:sz w:val="24"/>
                <w:szCs w:val="24"/>
                <w:highlight w:val="none"/>
                <w:lang w:val="en-US" w:eastAsia="zh-CN"/>
              </w:rPr>
            </w:pPr>
            <w:r>
              <w:rPr>
                <w:rFonts w:hint="eastAsia" w:ascii="仿宋_GB2312" w:hAnsi="仿宋_GB2312" w:eastAsia="仿宋_GB2312" w:cs="仿宋_GB2312"/>
                <w:sz w:val="24"/>
                <w:szCs w:val="24"/>
                <w:highlight w:val="none"/>
              </w:rPr>
              <w:t>市生态环境局</w:t>
            </w:r>
          </w:p>
        </w:tc>
        <w:tc>
          <w:tcPr>
            <w:tcW w:w="923" w:type="pct"/>
            <w:vAlign w:val="center"/>
          </w:tcPr>
          <w:p w14:paraId="4547B1F5">
            <w:pPr>
              <w:spacing w:line="254" w:lineRule="exact"/>
              <w:jc w:val="center"/>
              <w:rPr>
                <w:rFonts w:hint="eastAsia" w:ascii="仿宋_GB2312" w:hAnsi="仿宋_GB2312" w:eastAsia="仿宋_GB2312" w:cs="仿宋_GB2312"/>
                <w:sz w:val="24"/>
                <w:szCs w:val="24"/>
                <w:highlight w:val="none"/>
                <w:lang w:val="en-US" w:eastAsia="zh-CN"/>
              </w:rPr>
            </w:pPr>
            <w:r>
              <w:rPr>
                <w:rFonts w:hint="eastAsia" w:ascii="仿宋_GB2312" w:hAnsi="仿宋_GB2312" w:eastAsia="仿宋_GB2312" w:cs="仿宋_GB2312"/>
                <w:sz w:val="24"/>
                <w:szCs w:val="24"/>
                <w:highlight w:val="none"/>
                <w:lang w:val="en-US" w:eastAsia="zh-CN"/>
              </w:rPr>
              <w:t>市自然资源和城乡建设局</w:t>
            </w:r>
          </w:p>
        </w:tc>
      </w:tr>
      <w:tr w14:paraId="3A8DB5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3" w:type="pct"/>
            <w:vMerge w:val="continue"/>
            <w:vAlign w:val="center"/>
          </w:tcPr>
          <w:p w14:paraId="71E4FFCA">
            <w:pPr>
              <w:spacing w:line="254" w:lineRule="exact"/>
              <w:jc w:val="center"/>
              <w:rPr>
                <w:rFonts w:ascii="仿宋_GB2312" w:hAnsi="仿宋_GB2312" w:eastAsia="仿宋_GB2312" w:cs="仿宋_GB2312"/>
                <w:sz w:val="24"/>
                <w:szCs w:val="24"/>
                <w:highlight w:val="none"/>
              </w:rPr>
            </w:pPr>
          </w:p>
        </w:tc>
        <w:tc>
          <w:tcPr>
            <w:tcW w:w="259" w:type="pct"/>
            <w:vMerge w:val="restart"/>
            <w:vAlign w:val="center"/>
          </w:tcPr>
          <w:p w14:paraId="03D692C6">
            <w:pPr>
              <w:spacing w:line="254" w:lineRule="exact"/>
              <w:jc w:val="center"/>
              <w:rPr>
                <w:rFonts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lang w:val="en-US" w:eastAsia="zh-CN"/>
              </w:rPr>
              <w:t>8.</w:t>
            </w:r>
            <w:r>
              <w:rPr>
                <w:rFonts w:hint="eastAsia" w:ascii="仿宋_GB2312" w:hAnsi="仿宋_GB2312" w:eastAsia="仿宋_GB2312" w:cs="仿宋_GB2312"/>
                <w:sz w:val="24"/>
                <w:szCs w:val="24"/>
                <w:highlight w:val="none"/>
              </w:rPr>
              <w:t>推进固体废物综合治理</w:t>
            </w:r>
          </w:p>
        </w:tc>
        <w:tc>
          <w:tcPr>
            <w:tcW w:w="2355" w:type="pct"/>
            <w:vAlign w:val="center"/>
          </w:tcPr>
          <w:p w14:paraId="0529EFF1">
            <w:pPr>
              <w:spacing w:line="254" w:lineRule="exact"/>
              <w:jc w:val="left"/>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开展非法倾倒处置固体废物、建筑垃圾堆存场所等重点领域专项整治。</w:t>
            </w:r>
          </w:p>
        </w:tc>
        <w:tc>
          <w:tcPr>
            <w:tcW w:w="627" w:type="pct"/>
            <w:vAlign w:val="center"/>
          </w:tcPr>
          <w:p w14:paraId="6CFFBFA7">
            <w:pPr>
              <w:spacing w:line="254" w:lineRule="exact"/>
              <w:jc w:val="center"/>
              <w:rPr>
                <w:rFonts w:hint="default" w:ascii="仿宋_GB2312" w:hAnsi="仿宋_GB2312" w:eastAsia="仿宋_GB2312" w:cs="仿宋_GB2312"/>
                <w:sz w:val="24"/>
                <w:szCs w:val="24"/>
                <w:highlight w:val="none"/>
                <w:lang w:val="en-US" w:eastAsia="zh-CN"/>
              </w:rPr>
            </w:pPr>
            <w:r>
              <w:rPr>
                <w:rFonts w:hint="eastAsia" w:ascii="仿宋_GB2312" w:hAnsi="仿宋_GB2312" w:eastAsia="仿宋_GB2312" w:cs="仿宋_GB2312"/>
                <w:sz w:val="24"/>
                <w:szCs w:val="24"/>
                <w:highlight w:val="none"/>
                <w:lang w:val="en-US" w:eastAsia="zh-CN"/>
              </w:rPr>
              <w:t>2030年</w:t>
            </w:r>
          </w:p>
        </w:tc>
        <w:tc>
          <w:tcPr>
            <w:tcW w:w="680" w:type="pct"/>
            <w:vAlign w:val="center"/>
          </w:tcPr>
          <w:p w14:paraId="5B9E0030">
            <w:pPr>
              <w:spacing w:line="254" w:lineRule="exact"/>
              <w:jc w:val="center"/>
              <w:rPr>
                <w:rFonts w:hint="eastAsia" w:ascii="仿宋_GB2312" w:hAnsi="仿宋_GB2312" w:eastAsia="仿宋_GB2312" w:cs="仿宋_GB2312"/>
                <w:sz w:val="24"/>
                <w:szCs w:val="24"/>
                <w:highlight w:val="none"/>
                <w:lang w:val="en-US" w:eastAsia="zh-CN"/>
              </w:rPr>
            </w:pPr>
            <w:r>
              <w:rPr>
                <w:rFonts w:hint="eastAsia" w:ascii="仿宋_GB2312" w:hAnsi="仿宋_GB2312" w:eastAsia="仿宋_GB2312" w:cs="仿宋_GB2312"/>
                <w:sz w:val="24"/>
                <w:szCs w:val="24"/>
                <w:highlight w:val="none"/>
              </w:rPr>
              <w:t>市生态环境局</w:t>
            </w:r>
          </w:p>
        </w:tc>
        <w:tc>
          <w:tcPr>
            <w:tcW w:w="923" w:type="pct"/>
            <w:vAlign w:val="center"/>
          </w:tcPr>
          <w:p w14:paraId="0C0E9A02">
            <w:pPr>
              <w:spacing w:line="254" w:lineRule="exact"/>
              <w:jc w:val="center"/>
              <w:rPr>
                <w:rFonts w:hint="default" w:ascii="仿宋_GB2312" w:hAnsi="仿宋_GB2312" w:eastAsia="仿宋_GB2312" w:cs="仿宋_GB2312"/>
                <w:sz w:val="24"/>
                <w:szCs w:val="24"/>
                <w:highlight w:val="none"/>
                <w:lang w:val="en-US" w:eastAsia="zh-CN"/>
              </w:rPr>
            </w:pPr>
            <w:r>
              <w:rPr>
                <w:rFonts w:hint="eastAsia" w:ascii="仿宋_GB2312" w:hAnsi="仿宋_GB2312" w:eastAsia="仿宋_GB2312" w:cs="仿宋_GB2312"/>
                <w:sz w:val="24"/>
                <w:highlight w:val="none"/>
                <w:lang w:val="en-US" w:eastAsia="zh-CN"/>
              </w:rPr>
              <w:t>市城管委</w:t>
            </w:r>
          </w:p>
        </w:tc>
      </w:tr>
      <w:tr w14:paraId="5ACABC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3" w:type="pct"/>
            <w:vMerge w:val="continue"/>
            <w:vAlign w:val="center"/>
          </w:tcPr>
          <w:p w14:paraId="724A302F">
            <w:pPr>
              <w:spacing w:line="254" w:lineRule="exact"/>
              <w:jc w:val="center"/>
              <w:rPr>
                <w:rFonts w:ascii="仿宋_GB2312" w:hAnsi="仿宋_GB2312" w:eastAsia="仿宋_GB2312" w:cs="仿宋_GB2312"/>
                <w:sz w:val="24"/>
                <w:szCs w:val="24"/>
                <w:highlight w:val="none"/>
              </w:rPr>
            </w:pPr>
          </w:p>
        </w:tc>
        <w:tc>
          <w:tcPr>
            <w:tcW w:w="259" w:type="pct"/>
            <w:vMerge w:val="continue"/>
            <w:vAlign w:val="center"/>
          </w:tcPr>
          <w:p w14:paraId="04C35E5C">
            <w:pPr>
              <w:spacing w:line="254" w:lineRule="exact"/>
              <w:jc w:val="center"/>
              <w:rPr>
                <w:rFonts w:ascii="仿宋_GB2312" w:hAnsi="仿宋_GB2312" w:eastAsia="仿宋_GB2312" w:cs="仿宋_GB2312"/>
                <w:sz w:val="24"/>
                <w:szCs w:val="24"/>
                <w:highlight w:val="none"/>
              </w:rPr>
            </w:pPr>
          </w:p>
        </w:tc>
        <w:tc>
          <w:tcPr>
            <w:tcW w:w="2355" w:type="pct"/>
            <w:vAlign w:val="center"/>
          </w:tcPr>
          <w:p w14:paraId="403714DC">
            <w:pPr>
              <w:spacing w:line="254" w:lineRule="exact"/>
              <w:jc w:val="left"/>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开展工业资源综合利用先进适用工艺技术设备遴选工作，拓宽工业固废在建材、基建等领域规模化、高值化利用场景</w:t>
            </w:r>
            <w:r>
              <w:rPr>
                <w:rFonts w:hint="eastAsia" w:ascii="仿宋_GB2312" w:hAnsi="仿宋_GB2312" w:eastAsia="仿宋_GB2312" w:cs="仿宋_GB2312"/>
                <w:sz w:val="24"/>
                <w:szCs w:val="24"/>
                <w:highlight w:val="none"/>
                <w:lang w:val="en-US" w:eastAsia="zh-CN"/>
              </w:rPr>
              <w:t>。</w:t>
            </w:r>
            <w:r>
              <w:rPr>
                <w:rFonts w:hint="eastAsia" w:ascii="仿宋_GB2312" w:hAnsi="仿宋_GB2312" w:eastAsia="仿宋_GB2312" w:cs="仿宋_GB2312"/>
                <w:sz w:val="24"/>
                <w:szCs w:val="24"/>
                <w:highlight w:val="none"/>
              </w:rPr>
              <w:t>推动长乐山循环经济产业园建设全国大宗固体废弃物综合利用示范基地。</w:t>
            </w:r>
          </w:p>
        </w:tc>
        <w:tc>
          <w:tcPr>
            <w:tcW w:w="627" w:type="pct"/>
            <w:vAlign w:val="center"/>
          </w:tcPr>
          <w:p w14:paraId="5EF47C65">
            <w:pPr>
              <w:spacing w:line="254" w:lineRule="exact"/>
              <w:jc w:val="center"/>
              <w:rPr>
                <w:rFonts w:hint="default" w:ascii="仿宋_GB2312" w:hAnsi="仿宋_GB2312" w:eastAsia="仿宋_GB2312" w:cs="仿宋_GB2312"/>
                <w:sz w:val="24"/>
                <w:szCs w:val="24"/>
                <w:highlight w:val="none"/>
                <w:lang w:val="en-US" w:eastAsia="zh-CN"/>
              </w:rPr>
            </w:pPr>
            <w:r>
              <w:rPr>
                <w:rFonts w:hint="eastAsia" w:ascii="仿宋_GB2312" w:hAnsi="仿宋_GB2312" w:eastAsia="仿宋_GB2312" w:cs="仿宋_GB2312"/>
                <w:sz w:val="24"/>
                <w:szCs w:val="24"/>
                <w:highlight w:val="none"/>
                <w:lang w:val="en-US" w:eastAsia="zh-CN"/>
              </w:rPr>
              <w:t>2030年</w:t>
            </w:r>
          </w:p>
        </w:tc>
        <w:tc>
          <w:tcPr>
            <w:tcW w:w="680" w:type="pct"/>
            <w:vAlign w:val="center"/>
          </w:tcPr>
          <w:p w14:paraId="0B175875">
            <w:pPr>
              <w:spacing w:line="254" w:lineRule="exact"/>
              <w:jc w:val="center"/>
              <w:rPr>
                <w:rFonts w:hint="default" w:ascii="仿宋_GB2312" w:hAnsi="仿宋_GB2312" w:eastAsia="仿宋_GB2312" w:cs="仿宋_GB2312"/>
                <w:sz w:val="24"/>
                <w:szCs w:val="24"/>
                <w:highlight w:val="none"/>
                <w:lang w:val="en-US" w:eastAsia="zh-CN"/>
              </w:rPr>
            </w:pPr>
            <w:r>
              <w:rPr>
                <w:rFonts w:hint="eastAsia" w:ascii="仿宋_GB2312" w:hAnsi="仿宋_GB2312" w:eastAsia="仿宋_GB2312" w:cs="仿宋_GB2312"/>
                <w:sz w:val="24"/>
                <w:szCs w:val="24"/>
                <w:highlight w:val="none"/>
                <w:lang w:val="en-US" w:eastAsia="zh-CN"/>
              </w:rPr>
              <w:t>市经信局</w:t>
            </w:r>
          </w:p>
        </w:tc>
        <w:tc>
          <w:tcPr>
            <w:tcW w:w="923" w:type="pct"/>
            <w:vAlign w:val="center"/>
          </w:tcPr>
          <w:p w14:paraId="1AF00044">
            <w:pPr>
              <w:spacing w:line="254" w:lineRule="exact"/>
              <w:jc w:val="center"/>
              <w:rPr>
                <w:rFonts w:hint="default" w:ascii="仿宋_GB2312" w:hAnsi="仿宋_GB2312" w:eastAsia="仿宋_GB2312" w:cs="仿宋_GB2312"/>
                <w:sz w:val="24"/>
                <w:szCs w:val="24"/>
                <w:highlight w:val="none"/>
                <w:lang w:val="en-US" w:eastAsia="zh-CN"/>
              </w:rPr>
            </w:pPr>
            <w:r>
              <w:rPr>
                <w:rFonts w:hint="eastAsia" w:ascii="仿宋_GB2312" w:hAnsi="仿宋_GB2312" w:eastAsia="仿宋_GB2312" w:cs="仿宋_GB2312"/>
                <w:sz w:val="24"/>
                <w:szCs w:val="24"/>
                <w:highlight w:val="none"/>
                <w:lang w:val="en-US" w:eastAsia="zh-CN"/>
              </w:rPr>
              <w:t>市发改委、</w:t>
            </w:r>
            <w:r>
              <w:rPr>
                <w:rFonts w:hint="eastAsia" w:ascii="仿宋_GB2312" w:hAnsi="仿宋_GB2312" w:eastAsia="仿宋_GB2312" w:cs="仿宋_GB2312"/>
                <w:sz w:val="24"/>
                <w:szCs w:val="24"/>
                <w:highlight w:val="none"/>
              </w:rPr>
              <w:t>市生态环境局</w:t>
            </w:r>
            <w:r>
              <w:rPr>
                <w:rFonts w:hint="eastAsia" w:ascii="仿宋_GB2312" w:hAnsi="仿宋_GB2312" w:eastAsia="仿宋_GB2312" w:cs="仿宋_GB2312"/>
                <w:sz w:val="24"/>
                <w:szCs w:val="24"/>
                <w:highlight w:val="none"/>
                <w:lang w:eastAsia="zh-CN"/>
              </w:rPr>
              <w:t>、</w:t>
            </w:r>
            <w:r>
              <w:rPr>
                <w:rFonts w:hint="eastAsia" w:ascii="仿宋_GB2312" w:hAnsi="仿宋_GB2312" w:eastAsia="仿宋_GB2312" w:cs="仿宋_GB2312"/>
                <w:sz w:val="24"/>
                <w:szCs w:val="24"/>
                <w:highlight w:val="none"/>
                <w:lang w:val="en-US" w:eastAsia="zh-CN"/>
              </w:rPr>
              <w:t>市住房和城市更新局</w:t>
            </w:r>
          </w:p>
        </w:tc>
      </w:tr>
      <w:tr w14:paraId="541185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3" w:type="pct"/>
            <w:vMerge w:val="continue"/>
            <w:vAlign w:val="center"/>
          </w:tcPr>
          <w:p w14:paraId="5645F793">
            <w:pPr>
              <w:spacing w:line="254" w:lineRule="exact"/>
              <w:jc w:val="center"/>
              <w:rPr>
                <w:rFonts w:ascii="仿宋_GB2312" w:hAnsi="仿宋_GB2312" w:eastAsia="仿宋_GB2312" w:cs="仿宋_GB2312"/>
                <w:sz w:val="24"/>
                <w:szCs w:val="24"/>
                <w:highlight w:val="none"/>
              </w:rPr>
            </w:pPr>
          </w:p>
        </w:tc>
        <w:tc>
          <w:tcPr>
            <w:tcW w:w="259" w:type="pct"/>
            <w:vMerge w:val="continue"/>
            <w:vAlign w:val="center"/>
          </w:tcPr>
          <w:p w14:paraId="38792BB6">
            <w:pPr>
              <w:spacing w:line="254" w:lineRule="exact"/>
              <w:jc w:val="center"/>
              <w:rPr>
                <w:rFonts w:ascii="仿宋_GB2312" w:hAnsi="仿宋_GB2312" w:eastAsia="仿宋_GB2312" w:cs="仿宋_GB2312"/>
                <w:sz w:val="24"/>
                <w:szCs w:val="24"/>
                <w:highlight w:val="none"/>
              </w:rPr>
            </w:pPr>
          </w:p>
        </w:tc>
        <w:tc>
          <w:tcPr>
            <w:tcW w:w="2355" w:type="pct"/>
            <w:vAlign w:val="center"/>
          </w:tcPr>
          <w:p w14:paraId="346DCF5D">
            <w:pPr>
              <w:spacing w:line="254" w:lineRule="exact"/>
              <w:jc w:val="left"/>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引入“互联网+”回收模式，加大废旧机电设备、电线电缆、通信工具、废弃电器电子产品、废铅蓄电池等再生资源回收力度，加快再生资源回收和生活垃圾分类“两网融合”。</w:t>
            </w:r>
          </w:p>
        </w:tc>
        <w:tc>
          <w:tcPr>
            <w:tcW w:w="627" w:type="pct"/>
            <w:vAlign w:val="center"/>
          </w:tcPr>
          <w:p w14:paraId="226A16CA">
            <w:pPr>
              <w:spacing w:line="254" w:lineRule="exact"/>
              <w:jc w:val="center"/>
              <w:rPr>
                <w:rFonts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lang w:val="en-US" w:eastAsia="zh-CN"/>
              </w:rPr>
              <w:t>2030年</w:t>
            </w:r>
          </w:p>
        </w:tc>
        <w:tc>
          <w:tcPr>
            <w:tcW w:w="680" w:type="pct"/>
            <w:vAlign w:val="center"/>
          </w:tcPr>
          <w:p w14:paraId="757EA5E8">
            <w:pPr>
              <w:spacing w:line="254" w:lineRule="exact"/>
              <w:jc w:val="center"/>
              <w:rPr>
                <w:rFonts w:hint="eastAsia" w:ascii="仿宋_GB2312" w:hAnsi="仿宋_GB2312" w:eastAsia="仿宋_GB2312" w:cs="仿宋_GB2312"/>
                <w:sz w:val="24"/>
                <w:szCs w:val="24"/>
                <w:highlight w:val="none"/>
                <w:lang w:val="en-US" w:eastAsia="zh-CN"/>
              </w:rPr>
            </w:pPr>
            <w:r>
              <w:rPr>
                <w:rFonts w:hint="eastAsia" w:ascii="仿宋_GB2312" w:hAnsi="仿宋_GB2312" w:eastAsia="仿宋_GB2312" w:cs="仿宋_GB2312"/>
                <w:sz w:val="24"/>
                <w:szCs w:val="24"/>
                <w:highlight w:val="none"/>
                <w:lang w:val="en-US" w:eastAsia="zh-CN"/>
              </w:rPr>
              <w:t>市发改委</w:t>
            </w:r>
          </w:p>
        </w:tc>
        <w:tc>
          <w:tcPr>
            <w:tcW w:w="923" w:type="pct"/>
            <w:vAlign w:val="center"/>
          </w:tcPr>
          <w:p w14:paraId="10530804">
            <w:pPr>
              <w:spacing w:line="254" w:lineRule="exact"/>
              <w:jc w:val="center"/>
              <w:rPr>
                <w:rFonts w:hint="default" w:ascii="仿宋_GB2312" w:hAnsi="仿宋_GB2312" w:eastAsia="仿宋_GB2312" w:cs="仿宋_GB2312"/>
                <w:sz w:val="24"/>
                <w:szCs w:val="24"/>
                <w:highlight w:val="none"/>
                <w:lang w:val="en-US" w:eastAsia="zh-CN"/>
              </w:rPr>
            </w:pPr>
            <w:r>
              <w:rPr>
                <w:rFonts w:hint="eastAsia" w:ascii="仿宋_GB2312" w:hAnsi="仿宋_GB2312" w:eastAsia="仿宋_GB2312" w:cs="仿宋_GB2312"/>
                <w:sz w:val="24"/>
                <w:szCs w:val="24"/>
                <w:highlight w:val="none"/>
                <w:lang w:val="en-US" w:eastAsia="zh-CN"/>
              </w:rPr>
              <w:t>市经信局、</w:t>
            </w:r>
            <w:r>
              <w:rPr>
                <w:rFonts w:hint="eastAsia" w:ascii="仿宋_GB2312" w:hAnsi="仿宋_GB2312" w:eastAsia="仿宋_GB2312" w:cs="仿宋_GB2312"/>
                <w:sz w:val="24"/>
                <w:szCs w:val="24"/>
                <w:highlight w:val="none"/>
              </w:rPr>
              <w:t>市生态环境局</w:t>
            </w:r>
            <w:r>
              <w:rPr>
                <w:rFonts w:hint="eastAsia" w:ascii="仿宋_GB2312" w:hAnsi="仿宋_GB2312" w:eastAsia="仿宋_GB2312" w:cs="仿宋_GB2312"/>
                <w:sz w:val="24"/>
                <w:szCs w:val="24"/>
                <w:highlight w:val="none"/>
                <w:lang w:eastAsia="zh-CN"/>
              </w:rPr>
              <w:t>、</w:t>
            </w:r>
            <w:r>
              <w:rPr>
                <w:rFonts w:hint="eastAsia" w:ascii="仿宋_GB2312" w:hAnsi="仿宋_GB2312" w:eastAsia="仿宋_GB2312" w:cs="仿宋_GB2312"/>
                <w:sz w:val="24"/>
                <w:szCs w:val="24"/>
                <w:highlight w:val="none"/>
                <w:lang w:val="en-US" w:eastAsia="zh-CN"/>
              </w:rPr>
              <w:t>市商务局</w:t>
            </w:r>
          </w:p>
        </w:tc>
      </w:tr>
      <w:tr w14:paraId="03507F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3" w:type="pct"/>
            <w:vMerge w:val="continue"/>
            <w:vAlign w:val="center"/>
          </w:tcPr>
          <w:p w14:paraId="722AA705">
            <w:pPr>
              <w:spacing w:line="254" w:lineRule="exact"/>
              <w:jc w:val="center"/>
              <w:rPr>
                <w:rFonts w:ascii="仿宋_GB2312" w:hAnsi="仿宋_GB2312" w:eastAsia="仿宋_GB2312" w:cs="仿宋_GB2312"/>
                <w:sz w:val="24"/>
                <w:szCs w:val="24"/>
                <w:highlight w:val="none"/>
              </w:rPr>
            </w:pPr>
          </w:p>
        </w:tc>
        <w:tc>
          <w:tcPr>
            <w:tcW w:w="259" w:type="pct"/>
            <w:vMerge w:val="continue"/>
            <w:vAlign w:val="center"/>
          </w:tcPr>
          <w:p w14:paraId="24556814">
            <w:pPr>
              <w:spacing w:line="254" w:lineRule="exact"/>
              <w:jc w:val="center"/>
              <w:rPr>
                <w:rFonts w:ascii="仿宋_GB2312" w:hAnsi="仿宋_GB2312" w:eastAsia="仿宋_GB2312" w:cs="仿宋_GB2312"/>
                <w:sz w:val="24"/>
                <w:szCs w:val="24"/>
                <w:highlight w:val="none"/>
              </w:rPr>
            </w:pPr>
          </w:p>
        </w:tc>
        <w:tc>
          <w:tcPr>
            <w:tcW w:w="2355" w:type="pct"/>
            <w:vAlign w:val="center"/>
          </w:tcPr>
          <w:p w14:paraId="474CEF4F">
            <w:pPr>
              <w:spacing w:line="254" w:lineRule="exact"/>
              <w:jc w:val="left"/>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加强生活垃圾与建筑垃圾治理，推进小区生活垃圾分类全覆盖，实现城市及周边生活垃圾非正规垃圾堆放点清理，推进厨余垃圾无害化处置与资源化利用。加强建筑垃圾精细化分类及分质利用，加大塑料制品全链条治理。</w:t>
            </w:r>
          </w:p>
        </w:tc>
        <w:tc>
          <w:tcPr>
            <w:tcW w:w="627" w:type="pct"/>
            <w:vAlign w:val="center"/>
          </w:tcPr>
          <w:p w14:paraId="062F92CC">
            <w:pPr>
              <w:spacing w:line="254" w:lineRule="exact"/>
              <w:jc w:val="center"/>
              <w:rPr>
                <w:rFonts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lang w:val="en-US" w:eastAsia="zh-CN"/>
              </w:rPr>
              <w:t>2030年</w:t>
            </w:r>
          </w:p>
        </w:tc>
        <w:tc>
          <w:tcPr>
            <w:tcW w:w="680" w:type="pct"/>
            <w:vAlign w:val="center"/>
          </w:tcPr>
          <w:p w14:paraId="6F871D6B">
            <w:pPr>
              <w:spacing w:line="254" w:lineRule="exact"/>
              <w:jc w:val="center"/>
              <w:rPr>
                <w:rFonts w:hint="eastAsia" w:ascii="仿宋_GB2312" w:hAnsi="仿宋_GB2312" w:eastAsia="仿宋_GB2312" w:cs="仿宋_GB2312"/>
                <w:sz w:val="24"/>
                <w:szCs w:val="24"/>
                <w:highlight w:val="none"/>
                <w:lang w:val="en-US" w:eastAsia="zh-CN"/>
              </w:rPr>
            </w:pPr>
            <w:r>
              <w:rPr>
                <w:rFonts w:hint="eastAsia" w:ascii="仿宋_GB2312" w:hAnsi="仿宋_GB2312" w:eastAsia="仿宋_GB2312" w:cs="仿宋_GB2312"/>
                <w:sz w:val="24"/>
                <w:szCs w:val="24"/>
                <w:highlight w:val="none"/>
                <w:lang w:val="en-US" w:eastAsia="zh-CN"/>
              </w:rPr>
              <w:t>市城管委</w:t>
            </w:r>
          </w:p>
        </w:tc>
        <w:tc>
          <w:tcPr>
            <w:tcW w:w="923" w:type="pct"/>
            <w:vAlign w:val="center"/>
          </w:tcPr>
          <w:p w14:paraId="51752FBE">
            <w:pPr>
              <w:spacing w:line="254" w:lineRule="exact"/>
              <w:jc w:val="center"/>
              <w:rPr>
                <w:rFonts w:hint="eastAsia" w:ascii="仿宋_GB2312" w:hAnsi="仿宋_GB2312" w:eastAsia="仿宋_GB2312" w:cs="仿宋_GB2312"/>
                <w:sz w:val="24"/>
                <w:szCs w:val="24"/>
                <w:highlight w:val="none"/>
                <w:lang w:val="en-US" w:eastAsia="zh-CN"/>
              </w:rPr>
            </w:pPr>
            <w:r>
              <w:rPr>
                <w:rFonts w:hint="eastAsia" w:ascii="仿宋_GB2312" w:hAnsi="仿宋_GB2312" w:eastAsia="仿宋_GB2312" w:cs="仿宋_GB2312"/>
                <w:sz w:val="24"/>
                <w:szCs w:val="24"/>
                <w:highlight w:val="none"/>
                <w:lang w:val="en-US" w:eastAsia="zh-CN"/>
              </w:rPr>
              <w:t>市住房和城市更新局</w:t>
            </w:r>
          </w:p>
        </w:tc>
      </w:tr>
      <w:tr w14:paraId="0D47DF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3" w:type="pct"/>
            <w:vMerge w:val="continue"/>
            <w:vAlign w:val="center"/>
          </w:tcPr>
          <w:p w14:paraId="0924E892">
            <w:pPr>
              <w:spacing w:line="254" w:lineRule="exact"/>
              <w:jc w:val="center"/>
              <w:rPr>
                <w:rFonts w:ascii="仿宋_GB2312" w:hAnsi="仿宋_GB2312" w:eastAsia="仿宋_GB2312" w:cs="仿宋_GB2312"/>
                <w:sz w:val="24"/>
                <w:szCs w:val="24"/>
                <w:highlight w:val="none"/>
              </w:rPr>
            </w:pPr>
          </w:p>
        </w:tc>
        <w:tc>
          <w:tcPr>
            <w:tcW w:w="259" w:type="pct"/>
            <w:vMerge w:val="restart"/>
            <w:vAlign w:val="center"/>
          </w:tcPr>
          <w:p w14:paraId="168046C0">
            <w:pPr>
              <w:spacing w:line="254" w:lineRule="exact"/>
              <w:jc w:val="center"/>
              <w:rPr>
                <w:rFonts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lang w:val="en-US" w:eastAsia="zh-CN"/>
              </w:rPr>
              <w:t>9.</w:t>
            </w:r>
            <w:r>
              <w:rPr>
                <w:rFonts w:hint="eastAsia" w:ascii="仿宋_GB2312" w:hAnsi="仿宋_GB2312" w:eastAsia="仿宋_GB2312" w:cs="仿宋_GB2312"/>
                <w:sz w:val="24"/>
                <w:szCs w:val="24"/>
                <w:highlight w:val="none"/>
              </w:rPr>
              <w:t>加快建设宁静城市</w:t>
            </w:r>
          </w:p>
        </w:tc>
        <w:tc>
          <w:tcPr>
            <w:tcW w:w="2355" w:type="pct"/>
            <w:vAlign w:val="center"/>
          </w:tcPr>
          <w:p w14:paraId="45AF4BCF">
            <w:pPr>
              <w:spacing w:line="254" w:lineRule="exact"/>
              <w:jc w:val="left"/>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科学规划布局住宅、学校等噪声敏感建筑物，加强噪声在线监测、声源识别等新技术运用，探索开展噪声地图应用。</w:t>
            </w:r>
          </w:p>
        </w:tc>
        <w:tc>
          <w:tcPr>
            <w:tcW w:w="627" w:type="pct"/>
            <w:vAlign w:val="center"/>
          </w:tcPr>
          <w:p w14:paraId="09F2F1E5">
            <w:pPr>
              <w:spacing w:line="254" w:lineRule="exact"/>
              <w:jc w:val="center"/>
              <w:rPr>
                <w:rFonts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lang w:val="en-US" w:eastAsia="zh-CN"/>
              </w:rPr>
              <w:t>2030年</w:t>
            </w:r>
          </w:p>
        </w:tc>
        <w:tc>
          <w:tcPr>
            <w:tcW w:w="680" w:type="pct"/>
            <w:vAlign w:val="center"/>
          </w:tcPr>
          <w:p w14:paraId="616164F6">
            <w:pPr>
              <w:spacing w:line="254" w:lineRule="exact"/>
              <w:jc w:val="center"/>
              <w:rPr>
                <w:rFonts w:hint="eastAsia" w:ascii="仿宋_GB2312" w:hAnsi="仿宋_GB2312" w:eastAsia="仿宋_GB2312" w:cs="仿宋_GB2312"/>
                <w:sz w:val="24"/>
                <w:szCs w:val="24"/>
                <w:highlight w:val="none"/>
                <w:lang w:val="en-US" w:eastAsia="zh-CN"/>
              </w:rPr>
            </w:pPr>
            <w:r>
              <w:rPr>
                <w:rFonts w:hint="eastAsia" w:ascii="仿宋_GB2312" w:hAnsi="仿宋_GB2312" w:eastAsia="仿宋_GB2312" w:cs="仿宋_GB2312"/>
                <w:sz w:val="24"/>
                <w:szCs w:val="24"/>
                <w:highlight w:val="none"/>
                <w:lang w:val="en-US" w:eastAsia="zh-CN"/>
              </w:rPr>
              <w:t>市自然资源和城乡建设局、市生态环境局</w:t>
            </w:r>
          </w:p>
        </w:tc>
        <w:tc>
          <w:tcPr>
            <w:tcW w:w="923" w:type="pct"/>
            <w:vAlign w:val="center"/>
          </w:tcPr>
          <w:p w14:paraId="4637C3AC">
            <w:pPr>
              <w:spacing w:line="254" w:lineRule="exact"/>
              <w:jc w:val="center"/>
              <w:rPr>
                <w:rFonts w:hint="default" w:ascii="仿宋_GB2312" w:hAnsi="仿宋_GB2312" w:eastAsia="仿宋_GB2312" w:cs="仿宋_GB2312"/>
                <w:sz w:val="24"/>
                <w:szCs w:val="24"/>
                <w:highlight w:val="none"/>
                <w:lang w:val="en-US" w:eastAsia="zh-CN"/>
              </w:rPr>
            </w:pPr>
            <w:r>
              <w:rPr>
                <w:rFonts w:hint="eastAsia" w:ascii="仿宋_GB2312" w:hAnsi="仿宋_GB2312" w:eastAsia="仿宋_GB2312" w:cs="仿宋_GB2312"/>
                <w:sz w:val="24"/>
                <w:szCs w:val="24"/>
                <w:highlight w:val="none"/>
                <w:lang w:val="en-US" w:eastAsia="zh-CN"/>
              </w:rPr>
              <w:t>市交通运输局</w:t>
            </w:r>
          </w:p>
        </w:tc>
      </w:tr>
      <w:tr w14:paraId="1C7387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53" w:type="pct"/>
            <w:vMerge w:val="continue"/>
            <w:vAlign w:val="center"/>
          </w:tcPr>
          <w:p w14:paraId="014B225F">
            <w:pPr>
              <w:spacing w:line="254" w:lineRule="exact"/>
              <w:jc w:val="center"/>
              <w:rPr>
                <w:rFonts w:ascii="仿宋_GB2312" w:hAnsi="仿宋_GB2312" w:eastAsia="仿宋_GB2312" w:cs="仿宋_GB2312"/>
                <w:sz w:val="24"/>
                <w:szCs w:val="24"/>
                <w:highlight w:val="none"/>
              </w:rPr>
            </w:pPr>
          </w:p>
        </w:tc>
        <w:tc>
          <w:tcPr>
            <w:tcW w:w="259" w:type="pct"/>
            <w:vMerge w:val="continue"/>
            <w:vAlign w:val="center"/>
          </w:tcPr>
          <w:p w14:paraId="0A3F6CC1">
            <w:pPr>
              <w:spacing w:line="254" w:lineRule="exact"/>
              <w:jc w:val="center"/>
              <w:rPr>
                <w:rFonts w:ascii="仿宋_GB2312" w:hAnsi="仿宋_GB2312" w:eastAsia="仿宋_GB2312" w:cs="仿宋_GB2312"/>
                <w:sz w:val="24"/>
                <w:szCs w:val="24"/>
                <w:highlight w:val="none"/>
              </w:rPr>
            </w:pPr>
          </w:p>
        </w:tc>
        <w:tc>
          <w:tcPr>
            <w:tcW w:w="2355" w:type="pct"/>
            <w:vAlign w:val="center"/>
          </w:tcPr>
          <w:p w14:paraId="100F8D2E">
            <w:pPr>
              <w:spacing w:line="254" w:lineRule="exact"/>
              <w:jc w:val="left"/>
              <w:rPr>
                <w:rFonts w:hint="eastAsia" w:ascii="仿宋_GB2312" w:hAnsi="仿宋_GB2312" w:eastAsia="仿宋_GB2312" w:cs="仿宋_GB2312"/>
                <w:sz w:val="24"/>
                <w:szCs w:val="24"/>
                <w:highlight w:val="none"/>
                <w:lang w:eastAsia="zh-CN"/>
              </w:rPr>
            </w:pPr>
            <w:r>
              <w:rPr>
                <w:rFonts w:hint="eastAsia" w:ascii="仿宋_GB2312" w:hAnsi="仿宋_GB2312" w:eastAsia="仿宋_GB2312" w:cs="仿宋_GB2312"/>
                <w:sz w:val="24"/>
                <w:szCs w:val="24"/>
                <w:highlight w:val="none"/>
              </w:rPr>
              <w:t>强化工业噪声排污许可监管</w:t>
            </w:r>
            <w:r>
              <w:rPr>
                <w:rFonts w:hint="eastAsia" w:ascii="仿宋_GB2312" w:hAnsi="仿宋_GB2312" w:eastAsia="仿宋_GB2312" w:cs="仿宋_GB2312"/>
                <w:sz w:val="24"/>
                <w:szCs w:val="24"/>
                <w:highlight w:val="none"/>
                <w:lang w:eastAsia="zh-CN"/>
              </w:rPr>
              <w:t>。</w:t>
            </w:r>
          </w:p>
        </w:tc>
        <w:tc>
          <w:tcPr>
            <w:tcW w:w="627" w:type="pct"/>
            <w:vAlign w:val="center"/>
          </w:tcPr>
          <w:p w14:paraId="53397240">
            <w:pPr>
              <w:spacing w:line="254" w:lineRule="exact"/>
              <w:jc w:val="center"/>
              <w:rPr>
                <w:rFonts w:hint="eastAsia" w:ascii="仿宋_GB2312" w:hAnsi="仿宋_GB2312" w:eastAsia="仿宋_GB2312" w:cs="仿宋_GB2312"/>
                <w:sz w:val="24"/>
                <w:szCs w:val="24"/>
                <w:highlight w:val="none"/>
                <w:lang w:val="en-US" w:eastAsia="zh-CN"/>
              </w:rPr>
            </w:pPr>
            <w:r>
              <w:rPr>
                <w:rFonts w:hint="eastAsia" w:ascii="仿宋_GB2312" w:hAnsi="仿宋_GB2312" w:eastAsia="仿宋_GB2312" w:cs="仿宋_GB2312"/>
                <w:sz w:val="24"/>
                <w:szCs w:val="24"/>
                <w:highlight w:val="none"/>
                <w:lang w:val="en-US" w:eastAsia="zh-CN"/>
              </w:rPr>
              <w:t>2030年</w:t>
            </w:r>
          </w:p>
        </w:tc>
        <w:tc>
          <w:tcPr>
            <w:tcW w:w="680" w:type="pct"/>
            <w:vAlign w:val="center"/>
          </w:tcPr>
          <w:p w14:paraId="1EAA3999">
            <w:pPr>
              <w:spacing w:line="254" w:lineRule="exact"/>
              <w:jc w:val="center"/>
              <w:rPr>
                <w:rFonts w:hint="eastAsia" w:ascii="仿宋_GB2312" w:hAnsi="仿宋_GB2312" w:eastAsia="仿宋_GB2312" w:cs="仿宋_GB2312"/>
                <w:sz w:val="24"/>
                <w:szCs w:val="24"/>
                <w:highlight w:val="none"/>
                <w:lang w:val="en-US" w:eastAsia="zh-CN"/>
              </w:rPr>
            </w:pPr>
            <w:r>
              <w:rPr>
                <w:rFonts w:hint="eastAsia" w:ascii="仿宋_GB2312" w:hAnsi="仿宋_GB2312" w:eastAsia="仿宋_GB2312" w:cs="仿宋_GB2312"/>
                <w:sz w:val="24"/>
                <w:szCs w:val="24"/>
                <w:highlight w:val="none"/>
                <w:lang w:val="en-US" w:eastAsia="zh-CN"/>
              </w:rPr>
              <w:t>市生态环境局</w:t>
            </w:r>
          </w:p>
        </w:tc>
        <w:tc>
          <w:tcPr>
            <w:tcW w:w="923" w:type="pct"/>
            <w:vAlign w:val="center"/>
          </w:tcPr>
          <w:p w14:paraId="6E6F562C">
            <w:pPr>
              <w:spacing w:line="254" w:lineRule="exact"/>
              <w:jc w:val="center"/>
              <w:rPr>
                <w:rFonts w:hint="default" w:ascii="仿宋_GB2312" w:hAnsi="仿宋_GB2312" w:eastAsia="仿宋_GB2312" w:cs="仿宋_GB2312"/>
                <w:sz w:val="24"/>
                <w:szCs w:val="24"/>
                <w:highlight w:val="none"/>
                <w:lang w:val="en-US" w:eastAsia="zh-CN"/>
              </w:rPr>
            </w:pPr>
          </w:p>
        </w:tc>
      </w:tr>
      <w:tr w14:paraId="03AC6A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3" w:type="pct"/>
            <w:vMerge w:val="continue"/>
            <w:vAlign w:val="center"/>
          </w:tcPr>
          <w:p w14:paraId="06102CBD">
            <w:pPr>
              <w:spacing w:line="254" w:lineRule="exact"/>
              <w:jc w:val="center"/>
              <w:rPr>
                <w:rFonts w:ascii="仿宋_GB2312" w:hAnsi="仿宋_GB2312" w:eastAsia="仿宋_GB2312" w:cs="仿宋_GB2312"/>
                <w:sz w:val="24"/>
                <w:szCs w:val="24"/>
                <w:highlight w:val="none"/>
              </w:rPr>
            </w:pPr>
          </w:p>
        </w:tc>
        <w:tc>
          <w:tcPr>
            <w:tcW w:w="259" w:type="pct"/>
            <w:vMerge w:val="continue"/>
            <w:vAlign w:val="center"/>
          </w:tcPr>
          <w:p w14:paraId="1080CEEA">
            <w:pPr>
              <w:spacing w:line="254" w:lineRule="exact"/>
              <w:jc w:val="center"/>
              <w:rPr>
                <w:rFonts w:ascii="仿宋_GB2312" w:hAnsi="仿宋_GB2312" w:eastAsia="仿宋_GB2312" w:cs="仿宋_GB2312"/>
                <w:sz w:val="24"/>
                <w:szCs w:val="24"/>
                <w:highlight w:val="none"/>
              </w:rPr>
            </w:pPr>
          </w:p>
        </w:tc>
        <w:tc>
          <w:tcPr>
            <w:tcW w:w="2355" w:type="pct"/>
            <w:vAlign w:val="center"/>
          </w:tcPr>
          <w:p w14:paraId="67B466A6">
            <w:pPr>
              <w:spacing w:line="254" w:lineRule="exact"/>
              <w:jc w:val="left"/>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开展道路</w:t>
            </w:r>
            <w:r>
              <w:rPr>
                <w:rFonts w:hint="eastAsia" w:ascii="仿宋_GB2312" w:hAnsi="仿宋_GB2312" w:eastAsia="仿宋_GB2312" w:cs="仿宋_GB2312"/>
                <w:sz w:val="24"/>
                <w:szCs w:val="24"/>
                <w:highlight w:val="none"/>
                <w:lang w:val="en-US" w:eastAsia="zh-CN"/>
              </w:rPr>
              <w:t>交通等</w:t>
            </w:r>
            <w:r>
              <w:rPr>
                <w:rFonts w:hint="eastAsia" w:ascii="仿宋_GB2312" w:hAnsi="仿宋_GB2312" w:eastAsia="仿宋_GB2312" w:cs="仿宋_GB2312"/>
                <w:sz w:val="24"/>
                <w:szCs w:val="24"/>
                <w:highlight w:val="none"/>
              </w:rPr>
              <w:t>噪声污染治理，推广应用低噪声沥青路面。</w:t>
            </w:r>
          </w:p>
        </w:tc>
        <w:tc>
          <w:tcPr>
            <w:tcW w:w="627" w:type="pct"/>
            <w:vAlign w:val="center"/>
          </w:tcPr>
          <w:p w14:paraId="5B25DC9D">
            <w:pPr>
              <w:spacing w:line="254" w:lineRule="exact"/>
              <w:jc w:val="center"/>
              <w:rPr>
                <w:rFonts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lang w:val="en-US" w:eastAsia="zh-CN"/>
              </w:rPr>
              <w:t>2030年</w:t>
            </w:r>
          </w:p>
        </w:tc>
        <w:tc>
          <w:tcPr>
            <w:tcW w:w="680" w:type="pct"/>
            <w:vAlign w:val="center"/>
          </w:tcPr>
          <w:p w14:paraId="2BC1E271">
            <w:pPr>
              <w:spacing w:line="254" w:lineRule="exact"/>
              <w:jc w:val="center"/>
              <w:rPr>
                <w:rFonts w:hint="eastAsia" w:ascii="仿宋_GB2312" w:hAnsi="仿宋_GB2312" w:eastAsia="仿宋_GB2312" w:cs="仿宋_GB2312"/>
                <w:sz w:val="24"/>
                <w:szCs w:val="24"/>
                <w:highlight w:val="none"/>
                <w:lang w:val="en-US" w:eastAsia="zh-CN"/>
              </w:rPr>
            </w:pPr>
            <w:r>
              <w:rPr>
                <w:rFonts w:hint="eastAsia" w:ascii="仿宋_GB2312" w:hAnsi="仿宋_GB2312" w:eastAsia="仿宋_GB2312" w:cs="仿宋_GB2312"/>
                <w:sz w:val="24"/>
                <w:szCs w:val="24"/>
                <w:highlight w:val="none"/>
                <w:lang w:val="en-US" w:eastAsia="zh-CN"/>
              </w:rPr>
              <w:t>市城管委</w:t>
            </w:r>
          </w:p>
        </w:tc>
        <w:tc>
          <w:tcPr>
            <w:tcW w:w="923" w:type="pct"/>
            <w:vAlign w:val="center"/>
          </w:tcPr>
          <w:p w14:paraId="37C6B890">
            <w:pPr>
              <w:spacing w:line="254" w:lineRule="exact"/>
              <w:jc w:val="center"/>
              <w:rPr>
                <w:rFonts w:hint="default" w:ascii="仿宋_GB2312" w:hAnsi="仿宋_GB2312" w:eastAsia="仿宋_GB2312" w:cs="仿宋_GB2312"/>
                <w:sz w:val="24"/>
                <w:szCs w:val="24"/>
                <w:highlight w:val="none"/>
                <w:lang w:val="en-US" w:eastAsia="zh-CN"/>
              </w:rPr>
            </w:pPr>
            <w:r>
              <w:rPr>
                <w:rFonts w:hint="eastAsia" w:ascii="仿宋_GB2312" w:hAnsi="仿宋_GB2312" w:eastAsia="仿宋_GB2312" w:cs="仿宋_GB2312"/>
                <w:sz w:val="24"/>
                <w:szCs w:val="24"/>
                <w:highlight w:val="none"/>
                <w:lang w:val="en-US" w:eastAsia="zh-CN"/>
              </w:rPr>
              <w:t>市生态环境局、市交通运输局、市公安局</w:t>
            </w:r>
          </w:p>
        </w:tc>
      </w:tr>
      <w:tr w14:paraId="37A9F0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jc w:val="center"/>
        </w:trPr>
        <w:tc>
          <w:tcPr>
            <w:tcW w:w="153" w:type="pct"/>
            <w:vMerge w:val="continue"/>
            <w:vAlign w:val="center"/>
          </w:tcPr>
          <w:p w14:paraId="2D0D2C5B">
            <w:pPr>
              <w:spacing w:line="254" w:lineRule="exact"/>
              <w:jc w:val="center"/>
              <w:rPr>
                <w:rFonts w:ascii="仿宋_GB2312" w:hAnsi="仿宋_GB2312" w:eastAsia="仿宋_GB2312" w:cs="仿宋_GB2312"/>
                <w:sz w:val="24"/>
                <w:szCs w:val="24"/>
                <w:highlight w:val="none"/>
              </w:rPr>
            </w:pPr>
          </w:p>
        </w:tc>
        <w:tc>
          <w:tcPr>
            <w:tcW w:w="259" w:type="pct"/>
            <w:vMerge w:val="continue"/>
            <w:vAlign w:val="center"/>
          </w:tcPr>
          <w:p w14:paraId="5CC3085C">
            <w:pPr>
              <w:spacing w:line="254" w:lineRule="exact"/>
              <w:jc w:val="center"/>
              <w:rPr>
                <w:rFonts w:ascii="仿宋_GB2312" w:hAnsi="仿宋_GB2312" w:eastAsia="仿宋_GB2312" w:cs="仿宋_GB2312"/>
                <w:sz w:val="24"/>
                <w:szCs w:val="24"/>
                <w:highlight w:val="none"/>
              </w:rPr>
            </w:pPr>
          </w:p>
        </w:tc>
        <w:tc>
          <w:tcPr>
            <w:tcW w:w="2355" w:type="pct"/>
            <w:vAlign w:val="center"/>
          </w:tcPr>
          <w:p w14:paraId="24A9674C">
            <w:pPr>
              <w:spacing w:line="254" w:lineRule="exact"/>
              <w:jc w:val="left"/>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开展公共场所噪声扰民投诉专项治理。</w:t>
            </w:r>
          </w:p>
        </w:tc>
        <w:tc>
          <w:tcPr>
            <w:tcW w:w="627" w:type="pct"/>
            <w:vAlign w:val="center"/>
          </w:tcPr>
          <w:p w14:paraId="01EDB138">
            <w:pPr>
              <w:spacing w:line="254" w:lineRule="exact"/>
              <w:jc w:val="center"/>
              <w:rPr>
                <w:rFonts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lang w:val="en-US" w:eastAsia="zh-CN"/>
              </w:rPr>
              <w:t>2030年</w:t>
            </w:r>
          </w:p>
        </w:tc>
        <w:tc>
          <w:tcPr>
            <w:tcW w:w="680" w:type="pct"/>
            <w:vAlign w:val="center"/>
          </w:tcPr>
          <w:p w14:paraId="4567F504">
            <w:pPr>
              <w:spacing w:line="254" w:lineRule="exact"/>
              <w:jc w:val="center"/>
              <w:rPr>
                <w:rFonts w:hint="default" w:ascii="仿宋_GB2312" w:hAnsi="仿宋_GB2312" w:eastAsia="仿宋_GB2312" w:cs="仿宋_GB2312"/>
                <w:sz w:val="24"/>
                <w:szCs w:val="24"/>
                <w:highlight w:val="none"/>
                <w:lang w:val="en-US" w:eastAsia="zh-CN"/>
              </w:rPr>
            </w:pPr>
            <w:r>
              <w:rPr>
                <w:rFonts w:hint="eastAsia" w:ascii="仿宋_GB2312" w:hAnsi="仿宋_GB2312" w:eastAsia="仿宋_GB2312" w:cs="仿宋_GB2312"/>
                <w:sz w:val="24"/>
                <w:szCs w:val="24"/>
                <w:highlight w:val="none"/>
                <w:lang w:val="en-US" w:eastAsia="zh-CN"/>
              </w:rPr>
              <w:t>市生态环境局</w:t>
            </w:r>
          </w:p>
        </w:tc>
        <w:tc>
          <w:tcPr>
            <w:tcW w:w="923" w:type="pct"/>
            <w:vAlign w:val="center"/>
          </w:tcPr>
          <w:p w14:paraId="5898331A">
            <w:pPr>
              <w:spacing w:line="254" w:lineRule="exact"/>
              <w:jc w:val="center"/>
              <w:rPr>
                <w:rFonts w:hint="eastAsia" w:ascii="仿宋_GB2312" w:hAnsi="仿宋_GB2312" w:eastAsia="仿宋_GB2312" w:cs="仿宋_GB2312"/>
                <w:sz w:val="24"/>
                <w:szCs w:val="24"/>
                <w:highlight w:val="none"/>
                <w:lang w:val="en-US" w:eastAsia="zh-CN"/>
              </w:rPr>
            </w:pPr>
            <w:r>
              <w:rPr>
                <w:rFonts w:hint="eastAsia" w:ascii="仿宋_GB2312" w:hAnsi="仿宋_GB2312" w:eastAsia="仿宋_GB2312" w:cs="仿宋_GB2312"/>
                <w:sz w:val="24"/>
                <w:szCs w:val="24"/>
                <w:highlight w:val="none"/>
                <w:lang w:val="en-US" w:eastAsia="zh-CN"/>
              </w:rPr>
              <w:t>市自然资源和城乡建设局、市城管委、市公安局</w:t>
            </w:r>
          </w:p>
        </w:tc>
      </w:tr>
      <w:tr w14:paraId="7DC34A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3" w:type="pct"/>
            <w:vMerge w:val="continue"/>
            <w:vAlign w:val="center"/>
          </w:tcPr>
          <w:p w14:paraId="46516B6B">
            <w:pPr>
              <w:spacing w:line="254" w:lineRule="exact"/>
              <w:jc w:val="center"/>
              <w:rPr>
                <w:rFonts w:ascii="仿宋_GB2312" w:hAnsi="仿宋_GB2312" w:eastAsia="仿宋_GB2312" w:cs="仿宋_GB2312"/>
                <w:sz w:val="24"/>
                <w:szCs w:val="24"/>
                <w:highlight w:val="none"/>
              </w:rPr>
            </w:pPr>
          </w:p>
        </w:tc>
        <w:tc>
          <w:tcPr>
            <w:tcW w:w="259" w:type="pct"/>
            <w:vMerge w:val="continue"/>
            <w:vAlign w:val="center"/>
          </w:tcPr>
          <w:p w14:paraId="4D690547">
            <w:pPr>
              <w:spacing w:line="254" w:lineRule="exact"/>
              <w:jc w:val="center"/>
              <w:rPr>
                <w:rFonts w:ascii="仿宋_GB2312" w:hAnsi="仿宋_GB2312" w:eastAsia="仿宋_GB2312" w:cs="仿宋_GB2312"/>
                <w:sz w:val="24"/>
                <w:szCs w:val="24"/>
                <w:highlight w:val="none"/>
              </w:rPr>
            </w:pPr>
          </w:p>
        </w:tc>
        <w:tc>
          <w:tcPr>
            <w:tcW w:w="2355" w:type="pct"/>
            <w:vAlign w:val="center"/>
          </w:tcPr>
          <w:p w14:paraId="3F78C2E1">
            <w:pPr>
              <w:spacing w:line="254" w:lineRule="exact"/>
              <w:jc w:val="left"/>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持续实施“宁静小区”试点，推进学校</w:t>
            </w:r>
            <w:r>
              <w:rPr>
                <w:rFonts w:hint="eastAsia" w:ascii="仿宋_GB2312" w:hAnsi="仿宋_GB2312" w:eastAsia="仿宋_GB2312" w:cs="仿宋_GB2312"/>
                <w:sz w:val="24"/>
                <w:szCs w:val="24"/>
                <w:highlight w:val="none"/>
                <w:lang w:eastAsia="zh-CN"/>
              </w:rPr>
              <w:t>、</w:t>
            </w:r>
            <w:r>
              <w:rPr>
                <w:rFonts w:hint="eastAsia" w:ascii="仿宋_GB2312" w:hAnsi="仿宋_GB2312" w:eastAsia="仿宋_GB2312" w:cs="仿宋_GB2312"/>
                <w:sz w:val="24"/>
                <w:szCs w:val="24"/>
                <w:highlight w:val="none"/>
              </w:rPr>
              <w:t>‌商业区</w:t>
            </w:r>
            <w:r>
              <w:rPr>
                <w:rFonts w:hint="eastAsia" w:ascii="仿宋_GB2312" w:hAnsi="仿宋_GB2312" w:eastAsia="仿宋_GB2312" w:cs="仿宋_GB2312"/>
                <w:sz w:val="24"/>
                <w:szCs w:val="24"/>
                <w:highlight w:val="none"/>
                <w:lang w:eastAsia="zh-CN"/>
              </w:rPr>
              <w:t>、</w:t>
            </w:r>
            <w:r>
              <w:rPr>
                <w:rFonts w:hint="eastAsia" w:ascii="仿宋_GB2312" w:hAnsi="仿宋_GB2312" w:eastAsia="仿宋_GB2312" w:cs="仿宋_GB2312"/>
                <w:sz w:val="24"/>
                <w:szCs w:val="24"/>
                <w:highlight w:val="none"/>
              </w:rPr>
              <w:t>餐饮集中区等“宁静单元”建设</w:t>
            </w:r>
            <w:r>
              <w:rPr>
                <w:rFonts w:hint="eastAsia" w:ascii="仿宋_GB2312" w:hAnsi="仿宋_GB2312" w:eastAsia="仿宋_GB2312" w:cs="仿宋_GB2312"/>
                <w:sz w:val="24"/>
                <w:szCs w:val="24"/>
                <w:highlight w:val="none"/>
                <w:lang w:eastAsia="zh-CN"/>
              </w:rPr>
              <w:t>，</w:t>
            </w:r>
            <w:r>
              <w:rPr>
                <w:rFonts w:hint="eastAsia" w:ascii="仿宋_GB2312" w:hAnsi="仿宋_GB2312" w:eastAsia="仿宋_GB2312" w:cs="仿宋_GB2312"/>
                <w:sz w:val="24"/>
                <w:szCs w:val="24"/>
                <w:highlight w:val="none"/>
              </w:rPr>
              <w:t>累计建成20个宁静小区。</w:t>
            </w:r>
          </w:p>
        </w:tc>
        <w:tc>
          <w:tcPr>
            <w:tcW w:w="627" w:type="pct"/>
            <w:vAlign w:val="center"/>
          </w:tcPr>
          <w:p w14:paraId="04855C16">
            <w:pPr>
              <w:spacing w:line="254" w:lineRule="exact"/>
              <w:jc w:val="center"/>
              <w:rPr>
                <w:rFonts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2027年</w:t>
            </w:r>
          </w:p>
        </w:tc>
        <w:tc>
          <w:tcPr>
            <w:tcW w:w="680" w:type="pct"/>
            <w:vAlign w:val="center"/>
          </w:tcPr>
          <w:p w14:paraId="1B584DD3">
            <w:pPr>
              <w:spacing w:line="254" w:lineRule="exact"/>
              <w:jc w:val="center"/>
              <w:rPr>
                <w:rFonts w:hint="eastAsia" w:ascii="仿宋_GB2312" w:hAnsi="仿宋_GB2312" w:eastAsia="仿宋_GB2312" w:cs="仿宋_GB2312"/>
                <w:sz w:val="24"/>
                <w:szCs w:val="24"/>
                <w:highlight w:val="none"/>
                <w:lang w:val="en-US" w:eastAsia="zh-CN"/>
              </w:rPr>
            </w:pPr>
            <w:r>
              <w:rPr>
                <w:rFonts w:hint="eastAsia" w:ascii="仿宋_GB2312" w:hAnsi="仿宋_GB2312" w:eastAsia="仿宋_GB2312" w:cs="仿宋_GB2312"/>
                <w:sz w:val="24"/>
                <w:szCs w:val="24"/>
                <w:highlight w:val="none"/>
                <w:lang w:val="en-US" w:eastAsia="zh-CN"/>
              </w:rPr>
              <w:t>市生态环境局</w:t>
            </w:r>
          </w:p>
        </w:tc>
        <w:tc>
          <w:tcPr>
            <w:tcW w:w="923" w:type="pct"/>
            <w:vAlign w:val="center"/>
          </w:tcPr>
          <w:p w14:paraId="1A2BD88B">
            <w:pPr>
              <w:spacing w:line="254" w:lineRule="exact"/>
              <w:jc w:val="center"/>
              <w:rPr>
                <w:rFonts w:hint="eastAsia" w:ascii="仿宋_GB2312" w:hAnsi="仿宋_GB2312" w:eastAsia="仿宋_GB2312" w:cs="仿宋_GB2312"/>
                <w:sz w:val="24"/>
                <w:szCs w:val="24"/>
                <w:highlight w:val="none"/>
                <w:lang w:val="en-US" w:eastAsia="zh-CN"/>
              </w:rPr>
            </w:pPr>
          </w:p>
        </w:tc>
      </w:tr>
      <w:tr w14:paraId="72E353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3" w:type="pct"/>
            <w:vMerge w:val="restart"/>
            <w:vAlign w:val="center"/>
          </w:tcPr>
          <w:p w14:paraId="0F8A5ECE">
            <w:pPr>
              <w:spacing w:line="254" w:lineRule="exact"/>
              <w:jc w:val="center"/>
              <w:rPr>
                <w:rFonts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生态宜居</w:t>
            </w:r>
          </w:p>
        </w:tc>
        <w:tc>
          <w:tcPr>
            <w:tcW w:w="259" w:type="pct"/>
            <w:vMerge w:val="restart"/>
            <w:vAlign w:val="center"/>
          </w:tcPr>
          <w:p w14:paraId="6219825C">
            <w:pPr>
              <w:spacing w:line="254" w:lineRule="exact"/>
              <w:jc w:val="center"/>
              <w:rPr>
                <w:rFonts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lang w:val="en-US" w:eastAsia="zh-CN"/>
              </w:rPr>
              <w:t>10.</w:t>
            </w:r>
            <w:r>
              <w:rPr>
                <w:rFonts w:hint="eastAsia" w:ascii="仿宋_GB2312" w:hAnsi="仿宋_GB2312" w:eastAsia="仿宋_GB2312" w:cs="仿宋_GB2312"/>
                <w:sz w:val="24"/>
                <w:szCs w:val="24"/>
                <w:highlight w:val="none"/>
              </w:rPr>
              <w:t>守护城市生态本底</w:t>
            </w:r>
          </w:p>
        </w:tc>
        <w:tc>
          <w:tcPr>
            <w:tcW w:w="2355" w:type="pct"/>
            <w:vAlign w:val="center"/>
          </w:tcPr>
          <w:p w14:paraId="7E44D8D5">
            <w:pPr>
              <w:spacing w:line="254" w:lineRule="exact"/>
              <w:jc w:val="left"/>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筑牢城市生态屏障，开展东方山、长乐山、黄荆山等重要山体森林资源保护，推进网湖重要湿地保护与修复，塑造“半城山色半城湖”城市生态格局。</w:t>
            </w:r>
          </w:p>
        </w:tc>
        <w:tc>
          <w:tcPr>
            <w:tcW w:w="627" w:type="pct"/>
            <w:vAlign w:val="center"/>
          </w:tcPr>
          <w:p w14:paraId="61168402">
            <w:pPr>
              <w:spacing w:line="254" w:lineRule="exact"/>
              <w:jc w:val="center"/>
              <w:rPr>
                <w:rFonts w:hint="eastAsia" w:ascii="仿宋_GB2312" w:hAnsi="仿宋_GB2312" w:eastAsia="仿宋_GB2312" w:cs="仿宋_GB2312"/>
                <w:sz w:val="24"/>
                <w:szCs w:val="24"/>
                <w:highlight w:val="none"/>
                <w:lang w:val="en-US" w:eastAsia="zh-CN"/>
              </w:rPr>
            </w:pPr>
            <w:r>
              <w:rPr>
                <w:rFonts w:hint="eastAsia" w:ascii="仿宋_GB2312" w:hAnsi="仿宋_GB2312" w:eastAsia="仿宋_GB2312" w:cs="仿宋_GB2312"/>
                <w:sz w:val="24"/>
                <w:szCs w:val="24"/>
                <w:highlight w:val="none"/>
                <w:lang w:val="en-US" w:eastAsia="zh-CN"/>
              </w:rPr>
              <w:t>持续开展</w:t>
            </w:r>
          </w:p>
        </w:tc>
        <w:tc>
          <w:tcPr>
            <w:tcW w:w="680" w:type="pct"/>
            <w:vAlign w:val="center"/>
          </w:tcPr>
          <w:p w14:paraId="7A26924E">
            <w:pPr>
              <w:spacing w:line="254" w:lineRule="exact"/>
              <w:jc w:val="center"/>
              <w:rPr>
                <w:rFonts w:hint="eastAsia" w:ascii="仿宋_GB2312" w:hAnsi="仿宋_GB2312" w:eastAsia="仿宋_GB2312" w:cs="仿宋_GB2312"/>
                <w:sz w:val="24"/>
                <w:szCs w:val="24"/>
                <w:highlight w:val="none"/>
                <w:lang w:val="en-US" w:eastAsia="zh-CN"/>
              </w:rPr>
            </w:pPr>
            <w:r>
              <w:rPr>
                <w:rFonts w:hint="eastAsia" w:ascii="仿宋_GB2312" w:hAnsi="仿宋_GB2312" w:eastAsia="仿宋_GB2312" w:cs="仿宋_GB2312"/>
                <w:sz w:val="24"/>
                <w:szCs w:val="24"/>
                <w:highlight w:val="none"/>
              </w:rPr>
              <w:t>市自然资源和城乡建设局</w:t>
            </w:r>
          </w:p>
        </w:tc>
        <w:tc>
          <w:tcPr>
            <w:tcW w:w="923" w:type="pct"/>
            <w:vAlign w:val="center"/>
          </w:tcPr>
          <w:p w14:paraId="1A2EFE24">
            <w:pPr>
              <w:spacing w:line="254" w:lineRule="exact"/>
              <w:jc w:val="center"/>
              <w:rPr>
                <w:rFonts w:hint="default" w:ascii="仿宋_GB2312" w:hAnsi="仿宋_GB2312" w:eastAsia="仿宋_GB2312" w:cs="仿宋_GB2312"/>
                <w:sz w:val="24"/>
                <w:szCs w:val="24"/>
                <w:highlight w:val="none"/>
                <w:lang w:val="en-US" w:eastAsia="zh-CN"/>
              </w:rPr>
            </w:pPr>
            <w:r>
              <w:rPr>
                <w:rFonts w:hint="eastAsia" w:ascii="仿宋_GB2312" w:hAnsi="仿宋_GB2312" w:eastAsia="仿宋_GB2312" w:cs="仿宋_GB2312"/>
                <w:sz w:val="24"/>
                <w:szCs w:val="24"/>
                <w:highlight w:val="none"/>
                <w:lang w:val="en-US" w:eastAsia="zh-CN"/>
              </w:rPr>
              <w:t>市水利和湖泊局</w:t>
            </w:r>
          </w:p>
        </w:tc>
      </w:tr>
      <w:tr w14:paraId="52930D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3" w:type="pct"/>
            <w:vMerge w:val="continue"/>
            <w:vAlign w:val="center"/>
          </w:tcPr>
          <w:p w14:paraId="555A3839">
            <w:pPr>
              <w:spacing w:line="254" w:lineRule="exact"/>
              <w:jc w:val="center"/>
              <w:rPr>
                <w:rFonts w:ascii="仿宋_GB2312" w:hAnsi="仿宋_GB2312" w:eastAsia="仿宋_GB2312" w:cs="仿宋_GB2312"/>
                <w:sz w:val="24"/>
                <w:szCs w:val="24"/>
                <w:highlight w:val="none"/>
              </w:rPr>
            </w:pPr>
          </w:p>
        </w:tc>
        <w:tc>
          <w:tcPr>
            <w:tcW w:w="259" w:type="pct"/>
            <w:vMerge w:val="continue"/>
            <w:vAlign w:val="center"/>
          </w:tcPr>
          <w:p w14:paraId="1B7CB214">
            <w:pPr>
              <w:spacing w:line="254" w:lineRule="exact"/>
              <w:jc w:val="center"/>
              <w:rPr>
                <w:rFonts w:ascii="仿宋_GB2312" w:hAnsi="仿宋_GB2312" w:eastAsia="仿宋_GB2312" w:cs="仿宋_GB2312"/>
                <w:sz w:val="24"/>
                <w:szCs w:val="24"/>
                <w:highlight w:val="none"/>
              </w:rPr>
            </w:pPr>
          </w:p>
        </w:tc>
        <w:tc>
          <w:tcPr>
            <w:tcW w:w="2355" w:type="pct"/>
            <w:vAlign w:val="center"/>
          </w:tcPr>
          <w:p w14:paraId="0D1036C5">
            <w:pPr>
              <w:spacing w:line="254" w:lineRule="exact"/>
              <w:jc w:val="left"/>
              <w:rPr>
                <w:rFonts w:hint="eastAsia" w:ascii="仿宋_GB2312" w:hAnsi="仿宋_GB2312" w:eastAsia="仿宋_GB2312" w:cs="仿宋_GB2312"/>
                <w:sz w:val="24"/>
                <w:szCs w:val="24"/>
                <w:highlight w:val="none"/>
                <w:lang w:eastAsia="zh-CN"/>
              </w:rPr>
            </w:pPr>
            <w:r>
              <w:rPr>
                <w:rFonts w:hint="eastAsia" w:ascii="仿宋_GB2312" w:hAnsi="仿宋_GB2312" w:eastAsia="仿宋_GB2312" w:cs="仿宋_GB2312"/>
                <w:sz w:val="24"/>
                <w:szCs w:val="24"/>
                <w:highlight w:val="none"/>
              </w:rPr>
              <w:t>加强城市生物多样性保护，开展外来入侵物种普查、监测预警和影响评估，多层次推动城区、街镇、社区打造生物多样性友好的</w:t>
            </w:r>
            <w:r>
              <w:rPr>
                <w:rFonts w:hint="eastAsia" w:ascii="仿宋_GB2312" w:hAnsi="仿宋_GB2312" w:eastAsia="仿宋_GB2312" w:cs="仿宋_GB2312"/>
                <w:sz w:val="24"/>
                <w:szCs w:val="24"/>
                <w:highlight w:val="none"/>
                <w:lang w:val="en-US" w:eastAsia="zh-CN"/>
              </w:rPr>
              <w:t>城市</w:t>
            </w:r>
            <w:r>
              <w:rPr>
                <w:rFonts w:hint="eastAsia" w:ascii="仿宋_GB2312" w:hAnsi="仿宋_GB2312" w:eastAsia="仿宋_GB2312" w:cs="仿宋_GB2312"/>
                <w:sz w:val="24"/>
                <w:szCs w:val="24"/>
                <w:highlight w:val="none"/>
              </w:rPr>
              <w:t>样板</w:t>
            </w:r>
            <w:r>
              <w:rPr>
                <w:rFonts w:hint="eastAsia" w:ascii="仿宋_GB2312" w:hAnsi="仿宋_GB2312" w:eastAsia="仿宋_GB2312" w:cs="仿宋_GB2312"/>
                <w:sz w:val="24"/>
                <w:szCs w:val="24"/>
                <w:highlight w:val="none"/>
                <w:lang w:eastAsia="zh-CN"/>
              </w:rPr>
              <w:t>。</w:t>
            </w:r>
          </w:p>
        </w:tc>
        <w:tc>
          <w:tcPr>
            <w:tcW w:w="627" w:type="pct"/>
            <w:vAlign w:val="center"/>
          </w:tcPr>
          <w:p w14:paraId="6E647EDA">
            <w:pPr>
              <w:spacing w:line="254" w:lineRule="exact"/>
              <w:jc w:val="center"/>
              <w:rPr>
                <w:rFonts w:hint="default" w:ascii="仿宋_GB2312" w:hAnsi="仿宋_GB2312" w:eastAsia="仿宋_GB2312" w:cs="仿宋_GB2312"/>
                <w:sz w:val="24"/>
                <w:szCs w:val="24"/>
                <w:highlight w:val="none"/>
                <w:lang w:val="en-US" w:eastAsia="zh-CN"/>
              </w:rPr>
            </w:pPr>
            <w:r>
              <w:rPr>
                <w:rFonts w:hint="eastAsia" w:ascii="仿宋_GB2312" w:hAnsi="仿宋_GB2312" w:eastAsia="仿宋_GB2312" w:cs="仿宋_GB2312"/>
                <w:sz w:val="24"/>
                <w:szCs w:val="24"/>
                <w:highlight w:val="none"/>
                <w:lang w:val="en-US" w:eastAsia="zh-CN"/>
              </w:rPr>
              <w:t>2030年</w:t>
            </w:r>
          </w:p>
        </w:tc>
        <w:tc>
          <w:tcPr>
            <w:tcW w:w="680" w:type="pct"/>
            <w:vAlign w:val="center"/>
          </w:tcPr>
          <w:p w14:paraId="2A5ACA33">
            <w:pPr>
              <w:spacing w:line="254" w:lineRule="exact"/>
              <w:jc w:val="center"/>
              <w:rPr>
                <w:rFonts w:hint="eastAsia" w:ascii="仿宋_GB2312" w:hAnsi="仿宋_GB2312" w:eastAsia="仿宋_GB2312" w:cs="仿宋_GB2312"/>
                <w:sz w:val="24"/>
                <w:szCs w:val="24"/>
                <w:highlight w:val="none"/>
                <w:lang w:val="en-US" w:eastAsia="zh-CN"/>
              </w:rPr>
            </w:pPr>
            <w:r>
              <w:rPr>
                <w:rFonts w:hint="eastAsia" w:ascii="仿宋_GB2312" w:hAnsi="仿宋_GB2312" w:eastAsia="仿宋_GB2312" w:cs="仿宋_GB2312"/>
                <w:sz w:val="24"/>
                <w:szCs w:val="24"/>
                <w:highlight w:val="none"/>
                <w:lang w:val="en-US" w:eastAsia="zh-CN"/>
              </w:rPr>
              <w:t>市生态环境局</w:t>
            </w:r>
          </w:p>
        </w:tc>
        <w:tc>
          <w:tcPr>
            <w:tcW w:w="923" w:type="pct"/>
            <w:vAlign w:val="center"/>
          </w:tcPr>
          <w:p w14:paraId="48C01B05">
            <w:pPr>
              <w:spacing w:line="254" w:lineRule="exact"/>
              <w:jc w:val="center"/>
              <w:rPr>
                <w:rFonts w:hint="default" w:ascii="仿宋_GB2312" w:hAnsi="仿宋_GB2312" w:eastAsia="仿宋_GB2312" w:cs="仿宋_GB2312"/>
                <w:sz w:val="24"/>
                <w:szCs w:val="24"/>
                <w:highlight w:val="none"/>
                <w:lang w:val="en-US" w:eastAsia="zh-CN"/>
              </w:rPr>
            </w:pPr>
            <w:r>
              <w:rPr>
                <w:rFonts w:hint="eastAsia" w:ascii="仿宋_GB2312" w:hAnsi="仿宋_GB2312" w:eastAsia="仿宋_GB2312" w:cs="仿宋_GB2312"/>
                <w:sz w:val="24"/>
                <w:szCs w:val="24"/>
                <w:highlight w:val="none"/>
                <w:lang w:val="en-US" w:eastAsia="zh-CN"/>
              </w:rPr>
              <w:t>市自然资源和城乡建设局</w:t>
            </w:r>
          </w:p>
        </w:tc>
      </w:tr>
      <w:tr w14:paraId="4B2BE3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3" w:type="pct"/>
            <w:vMerge w:val="continue"/>
            <w:vAlign w:val="center"/>
          </w:tcPr>
          <w:p w14:paraId="5F3DCB51">
            <w:pPr>
              <w:spacing w:line="254" w:lineRule="exact"/>
              <w:jc w:val="center"/>
              <w:rPr>
                <w:rFonts w:ascii="仿宋_GB2312" w:hAnsi="仿宋_GB2312" w:eastAsia="仿宋_GB2312" w:cs="仿宋_GB2312"/>
                <w:sz w:val="24"/>
                <w:szCs w:val="24"/>
                <w:highlight w:val="none"/>
              </w:rPr>
            </w:pPr>
          </w:p>
        </w:tc>
        <w:tc>
          <w:tcPr>
            <w:tcW w:w="259" w:type="pct"/>
            <w:vMerge w:val="restart"/>
            <w:vAlign w:val="center"/>
          </w:tcPr>
          <w:p w14:paraId="1C0FF212">
            <w:pPr>
              <w:spacing w:line="254" w:lineRule="exact"/>
              <w:jc w:val="center"/>
              <w:rPr>
                <w:rFonts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lang w:val="en-US" w:eastAsia="zh-CN"/>
              </w:rPr>
              <w:t>11.</w:t>
            </w:r>
            <w:r>
              <w:rPr>
                <w:rFonts w:hint="eastAsia" w:ascii="仿宋_GB2312" w:hAnsi="仿宋_GB2312" w:eastAsia="仿宋_GB2312" w:cs="仿宋_GB2312"/>
                <w:sz w:val="24"/>
                <w:szCs w:val="24"/>
                <w:highlight w:val="none"/>
              </w:rPr>
              <w:t>优化城市绿地布局</w:t>
            </w:r>
          </w:p>
        </w:tc>
        <w:tc>
          <w:tcPr>
            <w:tcW w:w="2355" w:type="pct"/>
            <w:vAlign w:val="center"/>
          </w:tcPr>
          <w:p w14:paraId="6CE217B8">
            <w:pPr>
              <w:spacing w:line="254" w:lineRule="exact"/>
              <w:jc w:val="left"/>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实施大冶湖环湖绿道提升行动，联动环磁湖绿道和黄荆山景观，打造大冶湖－黄荆山－磁湖等绿道走廊。</w:t>
            </w:r>
          </w:p>
        </w:tc>
        <w:tc>
          <w:tcPr>
            <w:tcW w:w="627" w:type="pct"/>
            <w:vAlign w:val="center"/>
          </w:tcPr>
          <w:p w14:paraId="12DC7ACC">
            <w:pPr>
              <w:spacing w:line="254" w:lineRule="exact"/>
              <w:jc w:val="center"/>
              <w:rPr>
                <w:rFonts w:hint="default" w:ascii="仿宋_GB2312" w:hAnsi="仿宋_GB2312" w:eastAsia="仿宋_GB2312" w:cs="仿宋_GB2312"/>
                <w:sz w:val="24"/>
                <w:szCs w:val="24"/>
                <w:highlight w:val="none"/>
                <w:lang w:val="en-US" w:eastAsia="zh-CN"/>
              </w:rPr>
            </w:pPr>
            <w:r>
              <w:rPr>
                <w:rFonts w:hint="eastAsia" w:ascii="仿宋_GB2312" w:hAnsi="仿宋_GB2312" w:eastAsia="仿宋_GB2312" w:cs="仿宋_GB2312"/>
                <w:sz w:val="24"/>
                <w:szCs w:val="24"/>
                <w:highlight w:val="none"/>
                <w:lang w:val="en-US" w:eastAsia="zh-CN"/>
              </w:rPr>
              <w:t>2030年</w:t>
            </w:r>
          </w:p>
        </w:tc>
        <w:tc>
          <w:tcPr>
            <w:tcW w:w="680" w:type="pct"/>
            <w:vAlign w:val="center"/>
          </w:tcPr>
          <w:p w14:paraId="1E77D948">
            <w:pPr>
              <w:spacing w:line="254" w:lineRule="exact"/>
              <w:jc w:val="center"/>
              <w:rPr>
                <w:rFonts w:hint="eastAsia" w:ascii="仿宋_GB2312" w:hAnsi="仿宋_GB2312" w:eastAsia="仿宋_GB2312" w:cs="仿宋_GB2312"/>
                <w:sz w:val="24"/>
                <w:szCs w:val="24"/>
                <w:highlight w:val="none"/>
                <w:lang w:val="en-US" w:eastAsia="zh-CN"/>
              </w:rPr>
            </w:pPr>
            <w:r>
              <w:rPr>
                <w:rFonts w:hint="eastAsia" w:ascii="仿宋_GB2312" w:hAnsi="仿宋_GB2312" w:eastAsia="仿宋_GB2312" w:cs="仿宋_GB2312"/>
                <w:sz w:val="24"/>
                <w:szCs w:val="24"/>
                <w:highlight w:val="none"/>
                <w:lang w:val="en-US" w:eastAsia="zh-CN"/>
              </w:rPr>
              <w:t>市城管委</w:t>
            </w:r>
          </w:p>
        </w:tc>
        <w:tc>
          <w:tcPr>
            <w:tcW w:w="923" w:type="pct"/>
            <w:vAlign w:val="center"/>
          </w:tcPr>
          <w:p w14:paraId="4DF18A0A">
            <w:pPr>
              <w:spacing w:line="254" w:lineRule="exact"/>
              <w:jc w:val="center"/>
              <w:rPr>
                <w:rFonts w:hint="default" w:ascii="仿宋_GB2312" w:hAnsi="仿宋_GB2312" w:eastAsia="仿宋_GB2312" w:cs="仿宋_GB2312"/>
                <w:sz w:val="24"/>
                <w:szCs w:val="24"/>
                <w:highlight w:val="none"/>
                <w:lang w:val="en-US" w:eastAsia="zh-CN"/>
              </w:rPr>
            </w:pPr>
            <w:r>
              <w:rPr>
                <w:rFonts w:hint="eastAsia" w:ascii="仿宋_GB2312" w:hAnsi="仿宋_GB2312" w:eastAsia="仿宋_GB2312" w:cs="仿宋_GB2312"/>
                <w:sz w:val="24"/>
                <w:szCs w:val="24"/>
                <w:highlight w:val="none"/>
              </w:rPr>
              <w:t>市自然资源和城乡建设局</w:t>
            </w:r>
          </w:p>
        </w:tc>
      </w:tr>
      <w:tr w14:paraId="3EB435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3" w:type="pct"/>
            <w:vMerge w:val="continue"/>
            <w:vAlign w:val="center"/>
          </w:tcPr>
          <w:p w14:paraId="12F0392B">
            <w:pPr>
              <w:spacing w:line="254" w:lineRule="exact"/>
              <w:jc w:val="center"/>
              <w:rPr>
                <w:rFonts w:ascii="仿宋_GB2312" w:hAnsi="仿宋_GB2312" w:eastAsia="仿宋_GB2312" w:cs="仿宋_GB2312"/>
                <w:sz w:val="24"/>
                <w:szCs w:val="24"/>
                <w:highlight w:val="none"/>
              </w:rPr>
            </w:pPr>
          </w:p>
        </w:tc>
        <w:tc>
          <w:tcPr>
            <w:tcW w:w="259" w:type="pct"/>
            <w:vMerge w:val="continue"/>
            <w:vAlign w:val="center"/>
          </w:tcPr>
          <w:p w14:paraId="1AFA76B8">
            <w:pPr>
              <w:spacing w:line="254" w:lineRule="exact"/>
              <w:jc w:val="center"/>
              <w:rPr>
                <w:rFonts w:ascii="仿宋_GB2312" w:hAnsi="仿宋_GB2312" w:eastAsia="仿宋_GB2312" w:cs="仿宋_GB2312"/>
                <w:sz w:val="24"/>
                <w:szCs w:val="24"/>
                <w:highlight w:val="none"/>
              </w:rPr>
            </w:pPr>
          </w:p>
        </w:tc>
        <w:tc>
          <w:tcPr>
            <w:tcW w:w="2355" w:type="pct"/>
            <w:vAlign w:val="center"/>
          </w:tcPr>
          <w:p w14:paraId="292E0883">
            <w:pPr>
              <w:spacing w:line="254" w:lineRule="exact"/>
              <w:jc w:val="left"/>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加快城市次干道、支路绿化提质升级，建立城市林荫慢行系统。</w:t>
            </w:r>
          </w:p>
        </w:tc>
        <w:tc>
          <w:tcPr>
            <w:tcW w:w="627" w:type="pct"/>
            <w:vAlign w:val="center"/>
          </w:tcPr>
          <w:p w14:paraId="12A023F3">
            <w:pPr>
              <w:spacing w:line="254" w:lineRule="exact"/>
              <w:jc w:val="center"/>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lang w:val="en-US" w:eastAsia="zh-CN"/>
              </w:rPr>
              <w:t>持续开展</w:t>
            </w:r>
          </w:p>
        </w:tc>
        <w:tc>
          <w:tcPr>
            <w:tcW w:w="680" w:type="pct"/>
            <w:vAlign w:val="center"/>
          </w:tcPr>
          <w:p w14:paraId="088CC490">
            <w:pPr>
              <w:spacing w:line="254" w:lineRule="exact"/>
              <w:jc w:val="center"/>
              <w:rPr>
                <w:rFonts w:hint="default" w:ascii="仿宋_GB2312" w:hAnsi="仿宋_GB2312" w:eastAsia="仿宋_GB2312" w:cs="仿宋_GB2312"/>
                <w:sz w:val="24"/>
                <w:szCs w:val="24"/>
                <w:highlight w:val="none"/>
                <w:lang w:val="en-US" w:eastAsia="zh-CN"/>
              </w:rPr>
            </w:pPr>
            <w:r>
              <w:rPr>
                <w:rFonts w:hint="eastAsia" w:ascii="仿宋_GB2312" w:hAnsi="仿宋_GB2312" w:eastAsia="仿宋_GB2312" w:cs="仿宋_GB2312"/>
                <w:sz w:val="24"/>
                <w:szCs w:val="24"/>
                <w:highlight w:val="none"/>
                <w:lang w:val="en-US" w:eastAsia="zh-CN"/>
              </w:rPr>
              <w:t>市城管委</w:t>
            </w:r>
          </w:p>
        </w:tc>
        <w:tc>
          <w:tcPr>
            <w:tcW w:w="923" w:type="pct"/>
            <w:vAlign w:val="center"/>
          </w:tcPr>
          <w:p w14:paraId="602E7BF0">
            <w:pPr>
              <w:spacing w:line="254" w:lineRule="exact"/>
              <w:jc w:val="center"/>
              <w:rPr>
                <w:rFonts w:hint="default" w:ascii="仿宋_GB2312" w:hAnsi="仿宋_GB2312" w:eastAsia="仿宋_GB2312" w:cs="仿宋_GB2312"/>
                <w:sz w:val="24"/>
                <w:szCs w:val="24"/>
                <w:highlight w:val="none"/>
                <w:lang w:val="en-US" w:eastAsia="zh-CN"/>
              </w:rPr>
            </w:pPr>
            <w:r>
              <w:rPr>
                <w:rFonts w:hint="eastAsia" w:ascii="仿宋_GB2312" w:hAnsi="仿宋_GB2312" w:eastAsia="仿宋_GB2312" w:cs="仿宋_GB2312"/>
                <w:sz w:val="24"/>
                <w:szCs w:val="24"/>
                <w:highlight w:val="none"/>
                <w:lang w:val="en-US" w:eastAsia="zh-CN"/>
              </w:rPr>
              <w:t>市住房和城市更新局</w:t>
            </w:r>
          </w:p>
        </w:tc>
      </w:tr>
      <w:tr w14:paraId="14E59F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3" w:type="pct"/>
            <w:vMerge w:val="continue"/>
            <w:vAlign w:val="center"/>
          </w:tcPr>
          <w:p w14:paraId="688474E6">
            <w:pPr>
              <w:spacing w:line="254" w:lineRule="exact"/>
              <w:jc w:val="center"/>
              <w:rPr>
                <w:rFonts w:ascii="仿宋_GB2312" w:hAnsi="仿宋_GB2312" w:eastAsia="仿宋_GB2312" w:cs="仿宋_GB2312"/>
                <w:sz w:val="24"/>
                <w:szCs w:val="24"/>
                <w:highlight w:val="none"/>
              </w:rPr>
            </w:pPr>
          </w:p>
        </w:tc>
        <w:tc>
          <w:tcPr>
            <w:tcW w:w="259" w:type="pct"/>
            <w:vMerge w:val="continue"/>
            <w:vAlign w:val="center"/>
          </w:tcPr>
          <w:p w14:paraId="68E9FE04">
            <w:pPr>
              <w:spacing w:line="254" w:lineRule="exact"/>
              <w:jc w:val="center"/>
              <w:rPr>
                <w:rFonts w:ascii="仿宋_GB2312" w:hAnsi="仿宋_GB2312" w:eastAsia="仿宋_GB2312" w:cs="仿宋_GB2312"/>
                <w:sz w:val="24"/>
                <w:szCs w:val="24"/>
                <w:highlight w:val="none"/>
              </w:rPr>
            </w:pPr>
          </w:p>
        </w:tc>
        <w:tc>
          <w:tcPr>
            <w:tcW w:w="2355" w:type="pct"/>
            <w:vAlign w:val="center"/>
          </w:tcPr>
          <w:p w14:paraId="3D522195">
            <w:pPr>
              <w:spacing w:line="254" w:lineRule="exact"/>
              <w:jc w:val="left"/>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持续实施花城计划，开展桥下空间、废弃地块等“金角银边”公园化改造，推动牧羊湖、新下陆等区域新增一批口袋公园。加快墨斗山社区公园建设，改造提升团城山公园、西塞山公园和大众山城市休闲公园。</w:t>
            </w:r>
          </w:p>
        </w:tc>
        <w:tc>
          <w:tcPr>
            <w:tcW w:w="627" w:type="pct"/>
            <w:vAlign w:val="center"/>
          </w:tcPr>
          <w:p w14:paraId="0938F19E">
            <w:pPr>
              <w:spacing w:line="254" w:lineRule="exact"/>
              <w:jc w:val="center"/>
              <w:rPr>
                <w:rFonts w:hint="default" w:ascii="仿宋_GB2312" w:hAnsi="仿宋_GB2312" w:eastAsia="仿宋_GB2312" w:cs="仿宋_GB2312"/>
                <w:sz w:val="24"/>
                <w:szCs w:val="24"/>
                <w:highlight w:val="none"/>
                <w:lang w:val="en-US" w:eastAsia="zh-CN"/>
              </w:rPr>
            </w:pPr>
            <w:r>
              <w:rPr>
                <w:rFonts w:hint="eastAsia" w:ascii="仿宋_GB2312" w:hAnsi="仿宋_GB2312" w:eastAsia="仿宋_GB2312" w:cs="仿宋_GB2312"/>
                <w:sz w:val="24"/>
                <w:szCs w:val="24"/>
                <w:highlight w:val="none"/>
                <w:lang w:val="en-US" w:eastAsia="zh-CN"/>
              </w:rPr>
              <w:t>2030年</w:t>
            </w:r>
          </w:p>
        </w:tc>
        <w:tc>
          <w:tcPr>
            <w:tcW w:w="680" w:type="pct"/>
            <w:vAlign w:val="center"/>
          </w:tcPr>
          <w:p w14:paraId="39C7DC7E">
            <w:pPr>
              <w:spacing w:line="254" w:lineRule="exact"/>
              <w:jc w:val="center"/>
              <w:rPr>
                <w:rFonts w:hint="eastAsia" w:ascii="仿宋_GB2312" w:hAnsi="仿宋_GB2312" w:eastAsia="仿宋_GB2312" w:cs="仿宋_GB2312"/>
                <w:sz w:val="24"/>
                <w:szCs w:val="24"/>
                <w:highlight w:val="none"/>
                <w:lang w:val="en-US" w:eastAsia="zh-CN"/>
              </w:rPr>
            </w:pPr>
            <w:r>
              <w:rPr>
                <w:rFonts w:hint="eastAsia" w:ascii="仿宋_GB2312" w:hAnsi="仿宋_GB2312" w:eastAsia="仿宋_GB2312" w:cs="仿宋_GB2312"/>
                <w:sz w:val="24"/>
                <w:szCs w:val="24"/>
                <w:highlight w:val="none"/>
                <w:lang w:val="en-US" w:eastAsia="zh-CN"/>
              </w:rPr>
              <w:t>市城管委</w:t>
            </w:r>
          </w:p>
        </w:tc>
        <w:tc>
          <w:tcPr>
            <w:tcW w:w="923" w:type="pct"/>
            <w:vAlign w:val="center"/>
          </w:tcPr>
          <w:p w14:paraId="41648071">
            <w:pPr>
              <w:spacing w:line="254" w:lineRule="exact"/>
              <w:jc w:val="center"/>
              <w:rPr>
                <w:rFonts w:hint="eastAsia" w:ascii="仿宋_GB2312" w:hAnsi="仿宋_GB2312" w:eastAsia="仿宋_GB2312" w:cs="仿宋_GB2312"/>
                <w:sz w:val="24"/>
                <w:szCs w:val="24"/>
                <w:highlight w:val="none"/>
                <w:lang w:val="en-US" w:eastAsia="zh-CN"/>
              </w:rPr>
            </w:pPr>
            <w:r>
              <w:rPr>
                <w:rFonts w:hint="eastAsia" w:ascii="仿宋_GB2312" w:hAnsi="仿宋_GB2312" w:eastAsia="仿宋_GB2312" w:cs="仿宋_GB2312"/>
                <w:sz w:val="24"/>
                <w:szCs w:val="24"/>
                <w:highlight w:val="none"/>
                <w:lang w:val="en-US" w:eastAsia="zh-CN"/>
              </w:rPr>
              <w:t>市自然资源和城乡建设局、市住房和城市更新局</w:t>
            </w:r>
          </w:p>
        </w:tc>
      </w:tr>
      <w:tr w14:paraId="7F7AA8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53" w:type="pct"/>
            <w:vMerge w:val="continue"/>
            <w:vAlign w:val="center"/>
          </w:tcPr>
          <w:p w14:paraId="622E2EA0">
            <w:pPr>
              <w:spacing w:line="254" w:lineRule="exact"/>
              <w:jc w:val="center"/>
              <w:rPr>
                <w:rFonts w:ascii="仿宋_GB2312" w:hAnsi="仿宋_GB2312" w:eastAsia="仿宋_GB2312" w:cs="仿宋_GB2312"/>
                <w:sz w:val="24"/>
                <w:szCs w:val="24"/>
                <w:highlight w:val="none"/>
              </w:rPr>
            </w:pPr>
          </w:p>
        </w:tc>
        <w:tc>
          <w:tcPr>
            <w:tcW w:w="259" w:type="pct"/>
            <w:vMerge w:val="restart"/>
            <w:vAlign w:val="center"/>
          </w:tcPr>
          <w:p w14:paraId="27509AF2">
            <w:pPr>
              <w:spacing w:line="254" w:lineRule="exact"/>
              <w:jc w:val="center"/>
              <w:rPr>
                <w:rFonts w:hint="default" w:ascii="仿宋_GB2312" w:hAnsi="仿宋_GB2312" w:eastAsia="仿宋_GB2312" w:cs="仿宋_GB2312"/>
                <w:sz w:val="24"/>
                <w:szCs w:val="24"/>
                <w:highlight w:val="none"/>
                <w:lang w:val="en-US" w:eastAsia="zh-CN"/>
              </w:rPr>
            </w:pPr>
            <w:r>
              <w:rPr>
                <w:rFonts w:hint="eastAsia" w:ascii="仿宋_GB2312" w:hAnsi="仿宋_GB2312" w:eastAsia="仿宋_GB2312" w:cs="仿宋_GB2312"/>
                <w:sz w:val="24"/>
                <w:szCs w:val="24"/>
                <w:highlight w:val="none"/>
                <w:lang w:val="en-US" w:eastAsia="zh-CN"/>
              </w:rPr>
              <w:t>12.提升城市生态功能</w:t>
            </w:r>
          </w:p>
        </w:tc>
        <w:tc>
          <w:tcPr>
            <w:tcW w:w="2355" w:type="pct"/>
            <w:vAlign w:val="center"/>
          </w:tcPr>
          <w:p w14:paraId="7D210709">
            <w:pPr>
              <w:spacing w:line="254" w:lineRule="exact"/>
              <w:jc w:val="left"/>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实施城市景观微改造，更新改造老旧火车站及周边街区，推动沿铁路公共空间和景观界面提质升级，打造以铁路公园、工业遗址公园为主题的城市新场景。</w:t>
            </w:r>
          </w:p>
        </w:tc>
        <w:tc>
          <w:tcPr>
            <w:tcW w:w="627" w:type="pct"/>
            <w:vAlign w:val="center"/>
          </w:tcPr>
          <w:p w14:paraId="65C9D4E7">
            <w:pPr>
              <w:spacing w:line="254" w:lineRule="exact"/>
              <w:jc w:val="center"/>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lang w:val="en-US" w:eastAsia="zh-CN"/>
              </w:rPr>
              <w:t>2030年</w:t>
            </w:r>
          </w:p>
        </w:tc>
        <w:tc>
          <w:tcPr>
            <w:tcW w:w="680" w:type="pct"/>
            <w:vAlign w:val="center"/>
          </w:tcPr>
          <w:p w14:paraId="0A02775B">
            <w:pPr>
              <w:spacing w:line="254" w:lineRule="exact"/>
              <w:jc w:val="center"/>
              <w:rPr>
                <w:rFonts w:hint="eastAsia" w:ascii="仿宋_GB2312" w:hAnsi="仿宋_GB2312" w:eastAsia="仿宋_GB2312" w:cs="仿宋_GB2312"/>
                <w:sz w:val="24"/>
                <w:szCs w:val="24"/>
                <w:highlight w:val="none"/>
                <w:lang w:val="en-US" w:eastAsia="zh-CN"/>
              </w:rPr>
            </w:pPr>
            <w:r>
              <w:rPr>
                <w:rFonts w:hint="eastAsia" w:ascii="仿宋_GB2312" w:hAnsi="仿宋_GB2312" w:eastAsia="仿宋_GB2312" w:cs="仿宋_GB2312"/>
                <w:sz w:val="24"/>
                <w:szCs w:val="24"/>
                <w:highlight w:val="none"/>
                <w:lang w:val="en-US" w:eastAsia="zh-CN"/>
              </w:rPr>
              <w:t>市住房和城市更新局</w:t>
            </w:r>
          </w:p>
        </w:tc>
        <w:tc>
          <w:tcPr>
            <w:tcW w:w="923" w:type="pct"/>
            <w:vAlign w:val="center"/>
          </w:tcPr>
          <w:p w14:paraId="2ED57D7B">
            <w:pPr>
              <w:spacing w:line="254" w:lineRule="exact"/>
              <w:jc w:val="center"/>
              <w:rPr>
                <w:rFonts w:hint="default" w:ascii="仿宋_GB2312" w:hAnsi="仿宋_GB2312" w:eastAsia="仿宋_GB2312" w:cs="仿宋_GB2312"/>
                <w:sz w:val="24"/>
                <w:szCs w:val="24"/>
                <w:highlight w:val="none"/>
                <w:lang w:val="en-US" w:eastAsia="zh-CN"/>
              </w:rPr>
            </w:pPr>
            <w:r>
              <w:rPr>
                <w:rFonts w:hint="eastAsia" w:ascii="仿宋_GB2312" w:hAnsi="仿宋_GB2312" w:eastAsia="仿宋_GB2312" w:cs="仿宋_GB2312"/>
                <w:sz w:val="24"/>
                <w:szCs w:val="24"/>
                <w:highlight w:val="none"/>
                <w:lang w:val="en-US" w:eastAsia="zh-CN"/>
              </w:rPr>
              <w:t>市城管委</w:t>
            </w:r>
          </w:p>
        </w:tc>
      </w:tr>
      <w:tr w14:paraId="4489E3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3" w:type="pct"/>
            <w:vMerge w:val="continue"/>
            <w:vAlign w:val="center"/>
          </w:tcPr>
          <w:p w14:paraId="0F980474">
            <w:pPr>
              <w:spacing w:line="254" w:lineRule="exact"/>
              <w:jc w:val="center"/>
              <w:rPr>
                <w:rFonts w:ascii="仿宋_GB2312" w:hAnsi="仿宋_GB2312" w:eastAsia="仿宋_GB2312" w:cs="仿宋_GB2312"/>
                <w:sz w:val="24"/>
                <w:szCs w:val="24"/>
                <w:highlight w:val="none"/>
              </w:rPr>
            </w:pPr>
          </w:p>
        </w:tc>
        <w:tc>
          <w:tcPr>
            <w:tcW w:w="259" w:type="pct"/>
            <w:vMerge w:val="continue"/>
            <w:vAlign w:val="center"/>
          </w:tcPr>
          <w:p w14:paraId="2E7AC140">
            <w:pPr>
              <w:spacing w:line="254" w:lineRule="exact"/>
              <w:jc w:val="center"/>
              <w:rPr>
                <w:rFonts w:hint="eastAsia" w:ascii="仿宋_GB2312" w:hAnsi="仿宋_GB2312" w:eastAsia="仿宋_GB2312" w:cs="仿宋_GB2312"/>
                <w:sz w:val="24"/>
                <w:szCs w:val="24"/>
                <w:highlight w:val="none"/>
                <w:lang w:val="en-US" w:eastAsia="zh-CN"/>
              </w:rPr>
            </w:pPr>
          </w:p>
        </w:tc>
        <w:tc>
          <w:tcPr>
            <w:tcW w:w="2355" w:type="pct"/>
            <w:vAlign w:val="center"/>
          </w:tcPr>
          <w:p w14:paraId="3D98FD23">
            <w:pPr>
              <w:spacing w:line="254" w:lineRule="exact"/>
              <w:jc w:val="left"/>
              <w:rPr>
                <w:rFonts w:hint="eastAsia" w:ascii="仿宋_GB2312" w:hAnsi="仿宋_GB2312" w:eastAsia="仿宋_GB2312" w:cs="仿宋_GB2312"/>
                <w:sz w:val="24"/>
                <w:szCs w:val="24"/>
                <w:highlight w:val="none"/>
                <w:lang w:eastAsia="zh-CN"/>
              </w:rPr>
            </w:pPr>
            <w:r>
              <w:rPr>
                <w:rFonts w:hint="eastAsia" w:ascii="仿宋_GB2312" w:hAnsi="仿宋_GB2312" w:eastAsia="仿宋_GB2312" w:cs="仿宋_GB2312"/>
                <w:sz w:val="24"/>
                <w:szCs w:val="24"/>
                <w:highlight w:val="none"/>
              </w:rPr>
              <w:t>开展老旧厂房升级改造与利用工程。重点推进原纺机片厂房、原省拖片厂房、红旗水泥厂</w:t>
            </w:r>
            <w:r>
              <w:rPr>
                <w:rFonts w:hint="eastAsia" w:ascii="仿宋_GB2312" w:hAnsi="仿宋_GB2312" w:eastAsia="仿宋_GB2312" w:cs="仿宋_GB2312"/>
                <w:sz w:val="24"/>
                <w:szCs w:val="24"/>
                <w:highlight w:val="none"/>
                <w:lang w:eastAsia="zh-CN"/>
              </w:rPr>
              <w:t>（</w:t>
            </w:r>
            <w:r>
              <w:rPr>
                <w:rFonts w:hint="eastAsia" w:ascii="仿宋_GB2312" w:hAnsi="仿宋_GB2312" w:eastAsia="仿宋_GB2312" w:cs="仿宋_GB2312"/>
                <w:sz w:val="24"/>
                <w:szCs w:val="24"/>
                <w:highlight w:val="none"/>
              </w:rPr>
              <w:t>4号窑</w:t>
            </w:r>
            <w:r>
              <w:rPr>
                <w:rFonts w:hint="eastAsia" w:ascii="仿宋_GB2312" w:hAnsi="仿宋_GB2312" w:eastAsia="仿宋_GB2312" w:cs="仿宋_GB2312"/>
                <w:sz w:val="24"/>
                <w:szCs w:val="24"/>
                <w:highlight w:val="none"/>
                <w:lang w:eastAsia="zh-CN"/>
              </w:rPr>
              <w:t>）</w:t>
            </w:r>
            <w:r>
              <w:rPr>
                <w:rFonts w:hint="eastAsia" w:ascii="仿宋_GB2312" w:hAnsi="仿宋_GB2312" w:eastAsia="仿宋_GB2312" w:cs="仿宋_GB2312"/>
                <w:sz w:val="24"/>
                <w:szCs w:val="24"/>
                <w:highlight w:val="none"/>
              </w:rPr>
              <w:t>、青山湖社区老印刷厂</w:t>
            </w:r>
            <w:r>
              <w:rPr>
                <w:rFonts w:hint="eastAsia" w:ascii="仿宋_GB2312" w:hAnsi="仿宋_GB2312" w:eastAsia="仿宋_GB2312" w:cs="仿宋_GB2312"/>
                <w:sz w:val="24"/>
                <w:szCs w:val="24"/>
                <w:highlight w:val="none"/>
                <w:lang w:eastAsia="zh-CN"/>
              </w:rPr>
              <w:t>、冶钢弹簧厂、石龙头水泥厂等厂房改造与设施提升。</w:t>
            </w:r>
          </w:p>
        </w:tc>
        <w:tc>
          <w:tcPr>
            <w:tcW w:w="627" w:type="pct"/>
            <w:vAlign w:val="center"/>
          </w:tcPr>
          <w:p w14:paraId="4A0A2BF8">
            <w:pPr>
              <w:spacing w:line="254" w:lineRule="exact"/>
              <w:jc w:val="center"/>
              <w:rPr>
                <w:rFonts w:hint="eastAsia" w:ascii="仿宋_GB2312" w:hAnsi="仿宋_GB2312" w:eastAsia="仿宋_GB2312" w:cs="仿宋_GB2312"/>
                <w:kern w:val="2"/>
                <w:sz w:val="24"/>
                <w:szCs w:val="24"/>
                <w:highlight w:val="none"/>
                <w:lang w:val="en-US" w:eastAsia="zh-CN" w:bidi="ar-SA"/>
              </w:rPr>
            </w:pPr>
            <w:r>
              <w:rPr>
                <w:rFonts w:hint="eastAsia" w:ascii="仿宋_GB2312" w:hAnsi="仿宋_GB2312" w:eastAsia="仿宋_GB2312" w:cs="仿宋_GB2312"/>
                <w:sz w:val="24"/>
                <w:szCs w:val="24"/>
                <w:highlight w:val="none"/>
                <w:lang w:val="en-US" w:eastAsia="zh-CN"/>
              </w:rPr>
              <w:t>2030年</w:t>
            </w:r>
          </w:p>
        </w:tc>
        <w:tc>
          <w:tcPr>
            <w:tcW w:w="680" w:type="pct"/>
            <w:vAlign w:val="center"/>
          </w:tcPr>
          <w:p w14:paraId="6C46CC0C">
            <w:pPr>
              <w:spacing w:line="254" w:lineRule="exact"/>
              <w:jc w:val="center"/>
              <w:rPr>
                <w:rFonts w:hint="eastAsia" w:ascii="仿宋_GB2312" w:hAnsi="仿宋_GB2312" w:eastAsia="仿宋_GB2312" w:cs="仿宋_GB2312"/>
                <w:kern w:val="2"/>
                <w:sz w:val="24"/>
                <w:szCs w:val="24"/>
                <w:highlight w:val="none"/>
                <w:lang w:val="en-US" w:eastAsia="zh-CN" w:bidi="ar-SA"/>
              </w:rPr>
            </w:pPr>
            <w:r>
              <w:rPr>
                <w:rFonts w:hint="eastAsia" w:ascii="仿宋_GB2312" w:hAnsi="仿宋_GB2312" w:eastAsia="仿宋_GB2312" w:cs="仿宋_GB2312"/>
                <w:sz w:val="24"/>
                <w:szCs w:val="24"/>
                <w:highlight w:val="none"/>
                <w:lang w:val="en-US" w:eastAsia="zh-CN"/>
              </w:rPr>
              <w:t>市住房和城市更新局</w:t>
            </w:r>
          </w:p>
        </w:tc>
        <w:tc>
          <w:tcPr>
            <w:tcW w:w="923" w:type="pct"/>
            <w:vAlign w:val="center"/>
          </w:tcPr>
          <w:p w14:paraId="2D3D09FA">
            <w:pPr>
              <w:spacing w:line="254" w:lineRule="exact"/>
              <w:jc w:val="center"/>
              <w:rPr>
                <w:rFonts w:hint="default" w:ascii="仿宋_GB2312" w:hAnsi="仿宋_GB2312" w:eastAsia="仿宋_GB2312" w:cs="仿宋_GB2312"/>
                <w:sz w:val="24"/>
                <w:szCs w:val="24"/>
                <w:highlight w:val="none"/>
                <w:lang w:val="en-US" w:eastAsia="zh-CN"/>
              </w:rPr>
            </w:pPr>
            <w:r>
              <w:rPr>
                <w:rFonts w:hint="eastAsia" w:ascii="仿宋_GB2312" w:hAnsi="仿宋_GB2312" w:eastAsia="仿宋_GB2312" w:cs="仿宋_GB2312"/>
                <w:sz w:val="24"/>
                <w:szCs w:val="24"/>
                <w:highlight w:val="none"/>
                <w:lang w:val="en-US" w:eastAsia="zh-CN"/>
              </w:rPr>
              <w:t>市城管委</w:t>
            </w:r>
          </w:p>
        </w:tc>
      </w:tr>
      <w:tr w14:paraId="2B661A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3" w:type="pct"/>
            <w:vMerge w:val="continue"/>
            <w:vAlign w:val="center"/>
          </w:tcPr>
          <w:p w14:paraId="3E91B1DF">
            <w:pPr>
              <w:spacing w:line="254" w:lineRule="exact"/>
              <w:jc w:val="center"/>
              <w:rPr>
                <w:rFonts w:ascii="仿宋_GB2312" w:hAnsi="仿宋_GB2312" w:eastAsia="仿宋_GB2312" w:cs="仿宋_GB2312"/>
                <w:sz w:val="24"/>
                <w:szCs w:val="24"/>
                <w:highlight w:val="none"/>
              </w:rPr>
            </w:pPr>
          </w:p>
        </w:tc>
        <w:tc>
          <w:tcPr>
            <w:tcW w:w="259" w:type="pct"/>
            <w:vMerge w:val="continue"/>
            <w:vAlign w:val="center"/>
          </w:tcPr>
          <w:p w14:paraId="6DBBD511">
            <w:pPr>
              <w:spacing w:line="254" w:lineRule="exact"/>
              <w:jc w:val="center"/>
              <w:rPr>
                <w:rFonts w:ascii="仿宋_GB2312" w:hAnsi="仿宋_GB2312" w:eastAsia="仿宋_GB2312" w:cs="仿宋_GB2312"/>
                <w:sz w:val="24"/>
                <w:szCs w:val="24"/>
                <w:highlight w:val="none"/>
              </w:rPr>
            </w:pPr>
          </w:p>
        </w:tc>
        <w:tc>
          <w:tcPr>
            <w:tcW w:w="2355" w:type="pct"/>
            <w:vAlign w:val="center"/>
          </w:tcPr>
          <w:p w14:paraId="24A79D8B">
            <w:pPr>
              <w:spacing w:line="254" w:lineRule="exact"/>
              <w:jc w:val="left"/>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优化十五分钟生活圈要素配置，整治小区及周边绿化环境，实施社区基础设施绿色化改造，开展社区生态环境志愿服务活动。开展完整社区建设示范</w:t>
            </w:r>
            <w:r>
              <w:rPr>
                <w:rFonts w:hint="eastAsia" w:ascii="仿宋_GB2312" w:hAnsi="仿宋_GB2312" w:eastAsia="仿宋_GB2312" w:cs="仿宋_GB2312"/>
                <w:sz w:val="24"/>
                <w:szCs w:val="24"/>
                <w:highlight w:val="none"/>
                <w:lang w:eastAsia="zh-CN"/>
              </w:rPr>
              <w:t>，</w:t>
            </w:r>
            <w:r>
              <w:rPr>
                <w:rFonts w:hint="eastAsia" w:ascii="仿宋_GB2312" w:hAnsi="仿宋_GB2312" w:eastAsia="仿宋_GB2312" w:cs="仿宋_GB2312"/>
                <w:sz w:val="24"/>
                <w:szCs w:val="24"/>
                <w:highlight w:val="none"/>
              </w:rPr>
              <w:t>完整社区覆盖率达到50%，打造10个生态社区。</w:t>
            </w:r>
          </w:p>
        </w:tc>
        <w:tc>
          <w:tcPr>
            <w:tcW w:w="627" w:type="pct"/>
            <w:vAlign w:val="center"/>
          </w:tcPr>
          <w:p w14:paraId="61314ED4">
            <w:pPr>
              <w:spacing w:line="254" w:lineRule="exact"/>
              <w:jc w:val="center"/>
              <w:rPr>
                <w:rFonts w:hint="default" w:ascii="仿宋_GB2312" w:hAnsi="仿宋_GB2312" w:eastAsia="仿宋_GB2312" w:cs="仿宋_GB2312"/>
                <w:sz w:val="24"/>
                <w:szCs w:val="24"/>
                <w:highlight w:val="none"/>
                <w:lang w:val="en-US" w:eastAsia="zh-CN"/>
              </w:rPr>
            </w:pPr>
            <w:r>
              <w:rPr>
                <w:rFonts w:hint="eastAsia" w:ascii="仿宋_GB2312" w:hAnsi="仿宋_GB2312" w:eastAsia="仿宋_GB2312" w:cs="仿宋_GB2312"/>
                <w:sz w:val="24"/>
                <w:szCs w:val="24"/>
                <w:highlight w:val="none"/>
                <w:lang w:val="en-US" w:eastAsia="zh-CN"/>
              </w:rPr>
              <w:t>2030年</w:t>
            </w:r>
          </w:p>
        </w:tc>
        <w:tc>
          <w:tcPr>
            <w:tcW w:w="680" w:type="pct"/>
            <w:vAlign w:val="center"/>
          </w:tcPr>
          <w:p w14:paraId="3BE33750">
            <w:pPr>
              <w:spacing w:line="254" w:lineRule="exact"/>
              <w:jc w:val="center"/>
              <w:rPr>
                <w:rFonts w:hint="eastAsia" w:ascii="仿宋_GB2312" w:hAnsi="仿宋_GB2312" w:eastAsia="仿宋_GB2312" w:cs="仿宋_GB2312"/>
                <w:sz w:val="24"/>
                <w:szCs w:val="24"/>
                <w:highlight w:val="none"/>
                <w:lang w:val="en-US" w:eastAsia="zh-CN"/>
              </w:rPr>
            </w:pPr>
            <w:r>
              <w:rPr>
                <w:rFonts w:hint="eastAsia" w:ascii="仿宋_GB2312" w:hAnsi="仿宋_GB2312" w:eastAsia="仿宋_GB2312" w:cs="仿宋_GB2312"/>
                <w:sz w:val="24"/>
                <w:szCs w:val="24"/>
                <w:highlight w:val="none"/>
                <w:lang w:val="en-US" w:eastAsia="zh-CN"/>
              </w:rPr>
              <w:t>市住房和城市更新局、市生态环境局</w:t>
            </w:r>
          </w:p>
        </w:tc>
        <w:tc>
          <w:tcPr>
            <w:tcW w:w="923" w:type="pct"/>
            <w:vAlign w:val="center"/>
          </w:tcPr>
          <w:p w14:paraId="526B1966">
            <w:pPr>
              <w:spacing w:line="254" w:lineRule="exact"/>
              <w:jc w:val="center"/>
              <w:rPr>
                <w:rFonts w:hint="default" w:ascii="仿宋_GB2312" w:hAnsi="仿宋_GB2312" w:eastAsia="仿宋_GB2312" w:cs="仿宋_GB2312"/>
                <w:sz w:val="24"/>
                <w:szCs w:val="24"/>
                <w:highlight w:val="none"/>
                <w:lang w:val="en-US" w:eastAsia="zh-CN"/>
              </w:rPr>
            </w:pPr>
            <w:r>
              <w:rPr>
                <w:rFonts w:hint="eastAsia" w:ascii="仿宋_GB2312" w:hAnsi="仿宋_GB2312" w:eastAsia="仿宋_GB2312" w:cs="仿宋_GB2312"/>
                <w:sz w:val="24"/>
                <w:szCs w:val="24"/>
                <w:highlight w:val="none"/>
                <w:lang w:val="en-US" w:eastAsia="zh-CN"/>
              </w:rPr>
              <w:t>市城管委</w:t>
            </w:r>
          </w:p>
        </w:tc>
      </w:tr>
      <w:tr w14:paraId="59B874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 w:hRule="atLeast"/>
          <w:jc w:val="center"/>
        </w:trPr>
        <w:tc>
          <w:tcPr>
            <w:tcW w:w="153" w:type="pct"/>
            <w:vMerge w:val="continue"/>
            <w:vAlign w:val="center"/>
          </w:tcPr>
          <w:p w14:paraId="0ACC7994">
            <w:pPr>
              <w:spacing w:line="254" w:lineRule="exact"/>
              <w:jc w:val="center"/>
              <w:rPr>
                <w:rFonts w:ascii="仿宋_GB2312" w:hAnsi="仿宋_GB2312" w:eastAsia="仿宋_GB2312" w:cs="仿宋_GB2312"/>
                <w:sz w:val="24"/>
                <w:szCs w:val="24"/>
                <w:highlight w:val="none"/>
              </w:rPr>
            </w:pPr>
          </w:p>
        </w:tc>
        <w:tc>
          <w:tcPr>
            <w:tcW w:w="259" w:type="pct"/>
            <w:vMerge w:val="continue"/>
            <w:vAlign w:val="center"/>
          </w:tcPr>
          <w:p w14:paraId="2A4FB60C">
            <w:pPr>
              <w:spacing w:line="254" w:lineRule="exact"/>
              <w:jc w:val="center"/>
              <w:rPr>
                <w:rFonts w:ascii="仿宋_GB2312" w:hAnsi="仿宋_GB2312" w:eastAsia="仿宋_GB2312" w:cs="仿宋_GB2312"/>
                <w:sz w:val="24"/>
                <w:szCs w:val="24"/>
                <w:highlight w:val="none"/>
              </w:rPr>
            </w:pPr>
          </w:p>
        </w:tc>
        <w:tc>
          <w:tcPr>
            <w:tcW w:w="2355" w:type="pct"/>
            <w:vAlign w:val="center"/>
          </w:tcPr>
          <w:p w14:paraId="467F99D6">
            <w:pPr>
              <w:spacing w:line="254" w:lineRule="exact"/>
              <w:jc w:val="left"/>
              <w:rPr>
                <w:rFonts w:hint="eastAsia" w:ascii="仿宋_GB2312" w:hAnsi="仿宋_GB2312" w:eastAsia="仿宋_GB2312" w:cs="仿宋_GB2312"/>
                <w:sz w:val="24"/>
                <w:szCs w:val="24"/>
                <w:highlight w:val="none"/>
                <w:lang w:eastAsia="zh-CN"/>
              </w:rPr>
            </w:pPr>
            <w:r>
              <w:rPr>
                <w:rFonts w:hint="eastAsia" w:ascii="仿宋_GB2312" w:hAnsi="仿宋_GB2312" w:eastAsia="仿宋_GB2312" w:cs="仿宋_GB2312"/>
                <w:sz w:val="24"/>
                <w:szCs w:val="24"/>
                <w:highlight w:val="none"/>
              </w:rPr>
              <w:t>实施建筑节能改造，开展既有建筑能效诊断，制定既有建筑节能降碳年度改造计划，推广装配式、超低能耗和近零碳建筑</w:t>
            </w:r>
            <w:r>
              <w:rPr>
                <w:rFonts w:hint="eastAsia" w:ascii="仿宋_GB2312" w:hAnsi="仿宋_GB2312" w:eastAsia="仿宋_GB2312" w:cs="仿宋_GB2312"/>
                <w:sz w:val="24"/>
                <w:szCs w:val="24"/>
                <w:highlight w:val="none"/>
                <w:lang w:eastAsia="zh-CN"/>
              </w:rPr>
              <w:t>。既有建筑节能改造比例超过50%，</w:t>
            </w:r>
            <w:r>
              <w:rPr>
                <w:rFonts w:hint="eastAsia" w:ascii="仿宋_GB2312" w:hAnsi="仿宋_GB2312" w:eastAsia="仿宋_GB2312" w:cs="仿宋_GB2312"/>
                <w:sz w:val="24"/>
                <w:szCs w:val="24"/>
                <w:highlight w:val="none"/>
              </w:rPr>
              <w:t>打造1-2个超低能耗建筑与数字化运维深度融合的标杆项目</w:t>
            </w:r>
            <w:r>
              <w:rPr>
                <w:rFonts w:hint="eastAsia" w:ascii="仿宋_GB2312" w:hAnsi="仿宋_GB2312" w:eastAsia="仿宋_GB2312" w:cs="仿宋_GB2312"/>
                <w:sz w:val="24"/>
                <w:szCs w:val="24"/>
                <w:highlight w:val="none"/>
                <w:lang w:eastAsia="zh-CN"/>
              </w:rPr>
              <w:t>。</w:t>
            </w:r>
          </w:p>
        </w:tc>
        <w:tc>
          <w:tcPr>
            <w:tcW w:w="627" w:type="pct"/>
            <w:vAlign w:val="center"/>
          </w:tcPr>
          <w:p w14:paraId="73F97445">
            <w:pPr>
              <w:spacing w:line="254" w:lineRule="exact"/>
              <w:jc w:val="center"/>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lang w:val="en-US" w:eastAsia="zh-CN"/>
              </w:rPr>
              <w:t>2030年</w:t>
            </w:r>
          </w:p>
        </w:tc>
        <w:tc>
          <w:tcPr>
            <w:tcW w:w="680" w:type="pct"/>
            <w:vAlign w:val="center"/>
          </w:tcPr>
          <w:p w14:paraId="139D7E09">
            <w:pPr>
              <w:spacing w:line="254" w:lineRule="exact"/>
              <w:jc w:val="center"/>
              <w:rPr>
                <w:rFonts w:hint="eastAsia" w:ascii="仿宋_GB2312" w:hAnsi="仿宋_GB2312" w:eastAsia="仿宋_GB2312" w:cs="仿宋_GB2312"/>
                <w:sz w:val="24"/>
                <w:szCs w:val="24"/>
                <w:highlight w:val="none"/>
                <w:lang w:val="en-US" w:eastAsia="zh-CN"/>
              </w:rPr>
            </w:pPr>
            <w:r>
              <w:rPr>
                <w:rFonts w:hint="eastAsia" w:ascii="仿宋_GB2312" w:hAnsi="仿宋_GB2312" w:eastAsia="仿宋_GB2312" w:cs="仿宋_GB2312"/>
                <w:sz w:val="24"/>
                <w:szCs w:val="24"/>
                <w:highlight w:val="none"/>
                <w:lang w:val="en-US" w:eastAsia="zh-CN"/>
              </w:rPr>
              <w:t>市住房和城市更新局</w:t>
            </w:r>
          </w:p>
        </w:tc>
        <w:tc>
          <w:tcPr>
            <w:tcW w:w="923" w:type="pct"/>
            <w:vAlign w:val="center"/>
          </w:tcPr>
          <w:p w14:paraId="753EE95F">
            <w:pPr>
              <w:spacing w:line="254" w:lineRule="exact"/>
              <w:jc w:val="center"/>
              <w:rPr>
                <w:rFonts w:hint="default" w:ascii="仿宋_GB2312" w:hAnsi="仿宋_GB2312" w:eastAsia="仿宋_GB2312" w:cs="仿宋_GB2312"/>
                <w:sz w:val="24"/>
                <w:szCs w:val="24"/>
                <w:highlight w:val="none"/>
                <w:lang w:val="en-US" w:eastAsia="zh-CN"/>
              </w:rPr>
            </w:pPr>
            <w:r>
              <w:rPr>
                <w:rFonts w:hint="eastAsia" w:ascii="仿宋_GB2312" w:hAnsi="仿宋_GB2312" w:eastAsia="仿宋_GB2312" w:cs="仿宋_GB2312"/>
                <w:sz w:val="24"/>
                <w:szCs w:val="24"/>
                <w:highlight w:val="none"/>
                <w:lang w:val="en-US" w:eastAsia="zh-CN"/>
              </w:rPr>
              <w:t>市发改委、市市场监督管理局</w:t>
            </w:r>
          </w:p>
        </w:tc>
      </w:tr>
      <w:tr w14:paraId="1BA10D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3" w:type="pct"/>
            <w:vMerge w:val="restart"/>
            <w:vAlign w:val="center"/>
          </w:tcPr>
          <w:p w14:paraId="4038E7F1">
            <w:pPr>
              <w:spacing w:line="254" w:lineRule="exact"/>
              <w:jc w:val="center"/>
              <w:rPr>
                <w:rFonts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安全健康</w:t>
            </w:r>
          </w:p>
        </w:tc>
        <w:tc>
          <w:tcPr>
            <w:tcW w:w="259" w:type="pct"/>
            <w:vMerge w:val="restart"/>
            <w:vAlign w:val="center"/>
          </w:tcPr>
          <w:p w14:paraId="133921D0">
            <w:pPr>
              <w:spacing w:line="254" w:lineRule="exact"/>
              <w:jc w:val="center"/>
              <w:rPr>
                <w:rFonts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lang w:val="en-US" w:eastAsia="zh-CN"/>
              </w:rPr>
              <w:t>13.</w:t>
            </w:r>
            <w:r>
              <w:rPr>
                <w:rFonts w:hint="eastAsia" w:ascii="仿宋_GB2312" w:hAnsi="仿宋_GB2312" w:eastAsia="仿宋_GB2312" w:cs="仿宋_GB2312"/>
                <w:sz w:val="24"/>
                <w:szCs w:val="24"/>
                <w:highlight w:val="none"/>
              </w:rPr>
              <w:t>增强供水供气保障能力</w:t>
            </w:r>
          </w:p>
        </w:tc>
        <w:tc>
          <w:tcPr>
            <w:tcW w:w="2355" w:type="pct"/>
            <w:vAlign w:val="center"/>
          </w:tcPr>
          <w:p w14:paraId="3B06682F">
            <w:pPr>
              <w:spacing w:line="254" w:lineRule="exact"/>
              <w:jc w:val="left"/>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lang w:val="en-US" w:eastAsia="zh-CN"/>
              </w:rPr>
              <w:t>持续开展集中式饮用水水源地保护和治理专项行动，全面完成城市水源地规范化建设。</w:t>
            </w:r>
          </w:p>
        </w:tc>
        <w:tc>
          <w:tcPr>
            <w:tcW w:w="627" w:type="pct"/>
            <w:vAlign w:val="center"/>
          </w:tcPr>
          <w:p w14:paraId="3EA6F794">
            <w:pPr>
              <w:spacing w:line="254" w:lineRule="exact"/>
              <w:jc w:val="center"/>
              <w:rPr>
                <w:rFonts w:hint="default" w:ascii="仿宋_GB2312" w:hAnsi="仿宋_GB2312" w:eastAsia="仿宋_GB2312" w:cs="仿宋_GB2312"/>
                <w:sz w:val="24"/>
                <w:szCs w:val="24"/>
                <w:highlight w:val="none"/>
                <w:lang w:val="en-US" w:eastAsia="zh-CN"/>
              </w:rPr>
            </w:pPr>
            <w:r>
              <w:rPr>
                <w:rFonts w:hint="eastAsia" w:ascii="仿宋_GB2312" w:hAnsi="仿宋_GB2312" w:eastAsia="仿宋_GB2312" w:cs="仿宋_GB2312"/>
                <w:sz w:val="24"/>
                <w:szCs w:val="24"/>
                <w:highlight w:val="none"/>
                <w:lang w:val="en-US" w:eastAsia="zh-CN"/>
              </w:rPr>
              <w:t>2030年</w:t>
            </w:r>
          </w:p>
        </w:tc>
        <w:tc>
          <w:tcPr>
            <w:tcW w:w="680" w:type="pct"/>
            <w:vAlign w:val="center"/>
          </w:tcPr>
          <w:p w14:paraId="307886D4">
            <w:pPr>
              <w:spacing w:line="254" w:lineRule="exact"/>
              <w:jc w:val="center"/>
              <w:rPr>
                <w:rFonts w:hint="default" w:ascii="仿宋_GB2312" w:hAnsi="仿宋_GB2312" w:eastAsia="仿宋_GB2312" w:cs="仿宋_GB2312"/>
                <w:sz w:val="24"/>
                <w:szCs w:val="24"/>
                <w:highlight w:val="none"/>
                <w:lang w:val="en-US" w:eastAsia="zh-CN"/>
              </w:rPr>
            </w:pPr>
            <w:r>
              <w:rPr>
                <w:rFonts w:hint="eastAsia" w:ascii="仿宋_GB2312" w:hAnsi="仿宋_GB2312" w:eastAsia="仿宋_GB2312" w:cs="仿宋_GB2312"/>
                <w:sz w:val="24"/>
                <w:szCs w:val="24"/>
                <w:highlight w:val="none"/>
                <w:lang w:val="en-US" w:eastAsia="zh-CN"/>
              </w:rPr>
              <w:t>市生态环境局</w:t>
            </w:r>
          </w:p>
        </w:tc>
        <w:tc>
          <w:tcPr>
            <w:tcW w:w="923" w:type="pct"/>
            <w:vAlign w:val="center"/>
          </w:tcPr>
          <w:p w14:paraId="0EBD3C18">
            <w:pPr>
              <w:spacing w:line="254" w:lineRule="exact"/>
              <w:jc w:val="center"/>
              <w:rPr>
                <w:rFonts w:hint="default" w:ascii="仿宋_GB2312" w:hAnsi="仿宋_GB2312" w:eastAsia="仿宋_GB2312" w:cs="仿宋_GB2312"/>
                <w:sz w:val="24"/>
                <w:szCs w:val="24"/>
                <w:highlight w:val="none"/>
                <w:lang w:val="en-US" w:eastAsia="zh-CN"/>
              </w:rPr>
            </w:pPr>
            <w:r>
              <w:rPr>
                <w:rFonts w:hint="eastAsia" w:ascii="仿宋_GB2312" w:hAnsi="仿宋_GB2312" w:eastAsia="仿宋_GB2312" w:cs="仿宋_GB2312"/>
                <w:sz w:val="24"/>
                <w:szCs w:val="24"/>
                <w:highlight w:val="none"/>
                <w:lang w:val="en-US" w:eastAsia="zh-CN"/>
              </w:rPr>
              <w:t>市卫健委</w:t>
            </w:r>
          </w:p>
        </w:tc>
      </w:tr>
      <w:tr w14:paraId="260304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3" w:type="pct"/>
            <w:vMerge w:val="continue"/>
            <w:vAlign w:val="center"/>
          </w:tcPr>
          <w:p w14:paraId="202811FE">
            <w:pPr>
              <w:spacing w:line="254" w:lineRule="exact"/>
              <w:jc w:val="center"/>
              <w:rPr>
                <w:rFonts w:ascii="仿宋_GB2312" w:hAnsi="仿宋_GB2312" w:eastAsia="仿宋_GB2312" w:cs="仿宋_GB2312"/>
                <w:sz w:val="24"/>
                <w:szCs w:val="24"/>
                <w:highlight w:val="none"/>
              </w:rPr>
            </w:pPr>
          </w:p>
        </w:tc>
        <w:tc>
          <w:tcPr>
            <w:tcW w:w="259" w:type="pct"/>
            <w:vMerge w:val="continue"/>
            <w:vAlign w:val="center"/>
          </w:tcPr>
          <w:p w14:paraId="0BBB5415">
            <w:pPr>
              <w:spacing w:line="254" w:lineRule="exact"/>
              <w:jc w:val="center"/>
              <w:rPr>
                <w:rFonts w:ascii="仿宋_GB2312" w:hAnsi="仿宋_GB2312" w:eastAsia="仿宋_GB2312" w:cs="仿宋_GB2312"/>
                <w:sz w:val="24"/>
                <w:szCs w:val="24"/>
                <w:highlight w:val="none"/>
              </w:rPr>
            </w:pPr>
          </w:p>
        </w:tc>
        <w:tc>
          <w:tcPr>
            <w:tcW w:w="2355" w:type="pct"/>
            <w:vAlign w:val="center"/>
          </w:tcPr>
          <w:p w14:paraId="08C5461D">
            <w:pPr>
              <w:spacing w:line="254" w:lineRule="exact"/>
              <w:jc w:val="left"/>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开展城市地下管线系统性普查与隐患治理行动，优先推进老旧燃气、供水、供热等管网更新改造。常态化开展燃气安全隐患集中排查整治行动，推进老旧小区和餐饮场所“瓶改管”，构建全天候智慧燃气安全防护网</w:t>
            </w:r>
            <w:r>
              <w:rPr>
                <w:rFonts w:hint="eastAsia" w:ascii="仿宋_GB2312" w:hAnsi="仿宋_GB2312" w:eastAsia="仿宋_GB2312" w:cs="仿宋_GB2312"/>
                <w:sz w:val="24"/>
                <w:szCs w:val="24"/>
                <w:highlight w:val="none"/>
                <w:lang w:eastAsia="zh-CN"/>
              </w:rPr>
              <w:t>。</w:t>
            </w:r>
          </w:p>
        </w:tc>
        <w:tc>
          <w:tcPr>
            <w:tcW w:w="627" w:type="pct"/>
            <w:vAlign w:val="center"/>
          </w:tcPr>
          <w:p w14:paraId="3A1EC37E">
            <w:pPr>
              <w:spacing w:line="254" w:lineRule="exact"/>
              <w:jc w:val="center"/>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lang w:val="en-US" w:eastAsia="zh-CN"/>
              </w:rPr>
              <w:t>持续开展</w:t>
            </w:r>
          </w:p>
        </w:tc>
        <w:tc>
          <w:tcPr>
            <w:tcW w:w="680" w:type="pct"/>
            <w:vAlign w:val="center"/>
          </w:tcPr>
          <w:p w14:paraId="4ADF9AFC">
            <w:pPr>
              <w:spacing w:line="254" w:lineRule="exact"/>
              <w:jc w:val="center"/>
              <w:rPr>
                <w:rFonts w:hint="default" w:ascii="仿宋_GB2312" w:hAnsi="仿宋_GB2312" w:eastAsia="仿宋_GB2312" w:cs="仿宋_GB2312"/>
                <w:sz w:val="24"/>
                <w:szCs w:val="24"/>
                <w:highlight w:val="none"/>
                <w:lang w:val="en-US" w:eastAsia="zh-CN"/>
              </w:rPr>
            </w:pPr>
            <w:r>
              <w:rPr>
                <w:rFonts w:hint="eastAsia" w:ascii="仿宋_GB2312" w:hAnsi="仿宋_GB2312" w:eastAsia="仿宋_GB2312" w:cs="仿宋_GB2312"/>
                <w:sz w:val="24"/>
                <w:szCs w:val="24"/>
                <w:highlight w:val="none"/>
                <w:lang w:val="en-US" w:eastAsia="zh-CN"/>
              </w:rPr>
              <w:t>市城管委</w:t>
            </w:r>
          </w:p>
        </w:tc>
        <w:tc>
          <w:tcPr>
            <w:tcW w:w="923" w:type="pct"/>
            <w:vAlign w:val="center"/>
          </w:tcPr>
          <w:p w14:paraId="161670D0">
            <w:pPr>
              <w:spacing w:line="254" w:lineRule="exact"/>
              <w:jc w:val="center"/>
              <w:rPr>
                <w:rFonts w:hint="default" w:ascii="仿宋_GB2312" w:hAnsi="仿宋_GB2312" w:eastAsia="仿宋_GB2312" w:cs="仿宋_GB2312"/>
                <w:sz w:val="24"/>
                <w:szCs w:val="24"/>
                <w:highlight w:val="none"/>
                <w:lang w:val="en-US" w:eastAsia="zh-CN"/>
              </w:rPr>
            </w:pPr>
            <w:r>
              <w:rPr>
                <w:rFonts w:hint="eastAsia" w:ascii="仿宋_GB2312" w:hAnsi="仿宋_GB2312" w:eastAsia="仿宋_GB2312" w:cs="仿宋_GB2312"/>
                <w:sz w:val="24"/>
                <w:szCs w:val="24"/>
                <w:highlight w:val="none"/>
                <w:lang w:val="en-US" w:eastAsia="zh-CN"/>
              </w:rPr>
              <w:t>市公安局、市住房和城市更新局</w:t>
            </w:r>
          </w:p>
        </w:tc>
      </w:tr>
      <w:tr w14:paraId="5B4B44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3" w:type="pct"/>
            <w:vMerge w:val="continue"/>
            <w:vAlign w:val="center"/>
          </w:tcPr>
          <w:p w14:paraId="50D51129">
            <w:pPr>
              <w:spacing w:line="254" w:lineRule="exact"/>
              <w:jc w:val="center"/>
              <w:rPr>
                <w:rFonts w:ascii="仿宋_GB2312" w:hAnsi="仿宋_GB2312" w:eastAsia="仿宋_GB2312" w:cs="仿宋_GB2312"/>
                <w:sz w:val="24"/>
                <w:szCs w:val="24"/>
                <w:highlight w:val="none"/>
              </w:rPr>
            </w:pPr>
          </w:p>
        </w:tc>
        <w:tc>
          <w:tcPr>
            <w:tcW w:w="259" w:type="pct"/>
            <w:vMerge w:val="restart"/>
            <w:vAlign w:val="center"/>
          </w:tcPr>
          <w:p w14:paraId="57838261">
            <w:pPr>
              <w:spacing w:line="254" w:lineRule="exact"/>
              <w:jc w:val="center"/>
              <w:rPr>
                <w:rFonts w:hint="default" w:ascii="仿宋_GB2312" w:hAnsi="仿宋_GB2312" w:eastAsia="仿宋_GB2312" w:cs="仿宋_GB2312"/>
                <w:sz w:val="24"/>
                <w:szCs w:val="24"/>
                <w:highlight w:val="none"/>
                <w:lang w:val="en-US" w:eastAsia="zh-CN"/>
              </w:rPr>
            </w:pPr>
            <w:r>
              <w:rPr>
                <w:rFonts w:hint="eastAsia" w:ascii="仿宋_GB2312" w:hAnsi="仿宋_GB2312" w:eastAsia="仿宋_GB2312" w:cs="仿宋_GB2312"/>
                <w:sz w:val="24"/>
                <w:szCs w:val="24"/>
                <w:highlight w:val="none"/>
                <w:lang w:val="en-US" w:eastAsia="zh-CN"/>
              </w:rPr>
              <w:t>14.增强城市适应气候变化能力</w:t>
            </w:r>
          </w:p>
        </w:tc>
        <w:tc>
          <w:tcPr>
            <w:tcW w:w="2355" w:type="pct"/>
            <w:vAlign w:val="center"/>
          </w:tcPr>
          <w:p w14:paraId="61A2CB23">
            <w:pPr>
              <w:spacing w:line="254" w:lineRule="exact"/>
              <w:jc w:val="left"/>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编制城市温室气体清单，探索开展有色、建材等重点行业碳足迹核算和全生命周期评估。</w:t>
            </w:r>
          </w:p>
        </w:tc>
        <w:tc>
          <w:tcPr>
            <w:tcW w:w="627" w:type="pct"/>
            <w:vAlign w:val="center"/>
          </w:tcPr>
          <w:p w14:paraId="0B0308DF">
            <w:pPr>
              <w:spacing w:line="254" w:lineRule="exact"/>
              <w:jc w:val="center"/>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lang w:val="en-US" w:eastAsia="zh-CN"/>
              </w:rPr>
              <w:t>持续开展</w:t>
            </w:r>
          </w:p>
        </w:tc>
        <w:tc>
          <w:tcPr>
            <w:tcW w:w="680" w:type="pct"/>
            <w:vAlign w:val="center"/>
          </w:tcPr>
          <w:p w14:paraId="65D8FE1C">
            <w:pPr>
              <w:spacing w:line="254" w:lineRule="exact"/>
              <w:jc w:val="center"/>
              <w:rPr>
                <w:rFonts w:hint="eastAsia" w:ascii="仿宋_GB2312" w:hAnsi="仿宋_GB2312" w:eastAsia="仿宋_GB2312" w:cs="仿宋_GB2312"/>
                <w:sz w:val="24"/>
                <w:szCs w:val="24"/>
                <w:highlight w:val="none"/>
                <w:lang w:val="en-US" w:eastAsia="zh-CN"/>
              </w:rPr>
            </w:pPr>
            <w:r>
              <w:rPr>
                <w:rFonts w:hint="eastAsia" w:ascii="仿宋_GB2312" w:hAnsi="仿宋_GB2312" w:eastAsia="仿宋_GB2312" w:cs="仿宋_GB2312"/>
                <w:sz w:val="24"/>
                <w:szCs w:val="24"/>
                <w:highlight w:val="none"/>
                <w:lang w:val="en-US" w:eastAsia="zh-CN"/>
              </w:rPr>
              <w:t>市生态环境局</w:t>
            </w:r>
          </w:p>
        </w:tc>
        <w:tc>
          <w:tcPr>
            <w:tcW w:w="923" w:type="pct"/>
            <w:vAlign w:val="center"/>
          </w:tcPr>
          <w:p w14:paraId="3F20DC5D">
            <w:pPr>
              <w:spacing w:line="254" w:lineRule="exact"/>
              <w:jc w:val="center"/>
              <w:rPr>
                <w:rFonts w:hint="default" w:ascii="仿宋_GB2312" w:hAnsi="仿宋_GB2312" w:eastAsia="仿宋_GB2312" w:cs="仿宋_GB2312"/>
                <w:sz w:val="24"/>
                <w:szCs w:val="24"/>
                <w:highlight w:val="none"/>
                <w:lang w:val="en-US" w:eastAsia="zh-CN"/>
              </w:rPr>
            </w:pPr>
            <w:r>
              <w:rPr>
                <w:rFonts w:hint="eastAsia" w:ascii="仿宋_GB2312" w:hAnsi="仿宋_GB2312" w:eastAsia="仿宋_GB2312" w:cs="仿宋_GB2312"/>
                <w:sz w:val="24"/>
                <w:szCs w:val="24"/>
                <w:highlight w:val="none"/>
                <w:lang w:val="en-US" w:eastAsia="zh-CN"/>
              </w:rPr>
              <w:t>市发改委、市气象局</w:t>
            </w:r>
          </w:p>
        </w:tc>
      </w:tr>
      <w:tr w14:paraId="499970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3" w:type="pct"/>
            <w:vMerge w:val="continue"/>
            <w:vAlign w:val="center"/>
          </w:tcPr>
          <w:p w14:paraId="4D1A395B">
            <w:pPr>
              <w:spacing w:line="254" w:lineRule="exact"/>
              <w:jc w:val="center"/>
              <w:rPr>
                <w:rFonts w:ascii="仿宋_GB2312" w:hAnsi="仿宋_GB2312" w:eastAsia="仿宋_GB2312" w:cs="仿宋_GB2312"/>
                <w:sz w:val="24"/>
                <w:szCs w:val="24"/>
                <w:highlight w:val="none"/>
              </w:rPr>
            </w:pPr>
          </w:p>
        </w:tc>
        <w:tc>
          <w:tcPr>
            <w:tcW w:w="259" w:type="pct"/>
            <w:vMerge w:val="continue"/>
            <w:vAlign w:val="center"/>
          </w:tcPr>
          <w:p w14:paraId="028CB584">
            <w:pPr>
              <w:spacing w:line="254" w:lineRule="exact"/>
              <w:jc w:val="center"/>
              <w:rPr>
                <w:rFonts w:ascii="仿宋_GB2312" w:hAnsi="仿宋_GB2312" w:eastAsia="仿宋_GB2312" w:cs="仿宋_GB2312"/>
                <w:sz w:val="24"/>
                <w:szCs w:val="24"/>
                <w:highlight w:val="none"/>
              </w:rPr>
            </w:pPr>
          </w:p>
        </w:tc>
        <w:tc>
          <w:tcPr>
            <w:tcW w:w="2355" w:type="pct"/>
            <w:vAlign w:val="center"/>
          </w:tcPr>
          <w:p w14:paraId="3874BD92">
            <w:pPr>
              <w:spacing w:line="254" w:lineRule="exact"/>
              <w:jc w:val="left"/>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推动编制城市气候风险地图，强化气候变化对关键脆弱领域和区域的影响和风险评估。</w:t>
            </w:r>
          </w:p>
        </w:tc>
        <w:tc>
          <w:tcPr>
            <w:tcW w:w="627" w:type="pct"/>
            <w:vAlign w:val="center"/>
          </w:tcPr>
          <w:p w14:paraId="68BCDFD1">
            <w:pPr>
              <w:spacing w:line="254" w:lineRule="exact"/>
              <w:jc w:val="center"/>
              <w:rPr>
                <w:rFonts w:hint="default" w:ascii="仿宋_GB2312" w:hAnsi="仿宋_GB2312" w:eastAsia="仿宋_GB2312" w:cs="仿宋_GB2312"/>
                <w:sz w:val="24"/>
                <w:szCs w:val="24"/>
                <w:highlight w:val="none"/>
                <w:lang w:val="en-US" w:eastAsia="zh-CN"/>
              </w:rPr>
            </w:pPr>
            <w:r>
              <w:rPr>
                <w:rFonts w:hint="eastAsia" w:ascii="仿宋_GB2312" w:hAnsi="仿宋_GB2312" w:eastAsia="仿宋_GB2312" w:cs="仿宋_GB2312"/>
                <w:sz w:val="24"/>
                <w:szCs w:val="24"/>
                <w:highlight w:val="none"/>
                <w:lang w:val="en-US" w:eastAsia="zh-CN"/>
              </w:rPr>
              <w:t>2030年</w:t>
            </w:r>
          </w:p>
        </w:tc>
        <w:tc>
          <w:tcPr>
            <w:tcW w:w="680" w:type="pct"/>
            <w:vAlign w:val="center"/>
          </w:tcPr>
          <w:p w14:paraId="4A20587B">
            <w:pPr>
              <w:spacing w:line="254" w:lineRule="exact"/>
              <w:jc w:val="center"/>
              <w:rPr>
                <w:rFonts w:hint="eastAsia" w:ascii="仿宋_GB2312" w:hAnsi="仿宋_GB2312" w:eastAsia="仿宋_GB2312" w:cs="仿宋_GB2312"/>
                <w:sz w:val="24"/>
                <w:szCs w:val="24"/>
                <w:highlight w:val="none"/>
                <w:lang w:val="en-US" w:eastAsia="zh-CN"/>
              </w:rPr>
            </w:pPr>
            <w:r>
              <w:rPr>
                <w:rFonts w:hint="eastAsia" w:ascii="仿宋_GB2312" w:hAnsi="仿宋_GB2312" w:eastAsia="仿宋_GB2312" w:cs="仿宋_GB2312"/>
                <w:sz w:val="24"/>
                <w:szCs w:val="24"/>
                <w:highlight w:val="none"/>
                <w:lang w:val="en-US" w:eastAsia="zh-CN"/>
              </w:rPr>
              <w:t>市生态环境局</w:t>
            </w:r>
          </w:p>
        </w:tc>
        <w:tc>
          <w:tcPr>
            <w:tcW w:w="923" w:type="pct"/>
            <w:vAlign w:val="center"/>
          </w:tcPr>
          <w:p w14:paraId="2297801B">
            <w:pPr>
              <w:spacing w:line="254" w:lineRule="exact"/>
              <w:jc w:val="center"/>
              <w:rPr>
                <w:rFonts w:hint="eastAsia" w:ascii="仿宋_GB2312" w:hAnsi="仿宋_GB2312" w:eastAsia="仿宋_GB2312" w:cs="仿宋_GB2312"/>
                <w:sz w:val="24"/>
                <w:szCs w:val="24"/>
                <w:highlight w:val="none"/>
                <w:lang w:val="en-US" w:eastAsia="zh-CN"/>
              </w:rPr>
            </w:pPr>
            <w:r>
              <w:rPr>
                <w:rFonts w:hint="eastAsia" w:ascii="仿宋_GB2312" w:hAnsi="仿宋_GB2312" w:eastAsia="仿宋_GB2312" w:cs="仿宋_GB2312"/>
                <w:sz w:val="24"/>
                <w:szCs w:val="24"/>
                <w:highlight w:val="none"/>
                <w:lang w:val="en-US" w:eastAsia="zh-CN"/>
              </w:rPr>
              <w:t>市气象局</w:t>
            </w:r>
          </w:p>
        </w:tc>
      </w:tr>
      <w:tr w14:paraId="1BB03A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3" w:type="pct"/>
            <w:vMerge w:val="continue"/>
            <w:vAlign w:val="center"/>
          </w:tcPr>
          <w:p w14:paraId="40FF80CD">
            <w:pPr>
              <w:spacing w:line="254" w:lineRule="exact"/>
              <w:jc w:val="center"/>
              <w:rPr>
                <w:rFonts w:ascii="仿宋_GB2312" w:hAnsi="仿宋_GB2312" w:eastAsia="仿宋_GB2312" w:cs="仿宋_GB2312"/>
                <w:sz w:val="24"/>
                <w:szCs w:val="24"/>
                <w:highlight w:val="none"/>
              </w:rPr>
            </w:pPr>
          </w:p>
        </w:tc>
        <w:tc>
          <w:tcPr>
            <w:tcW w:w="259" w:type="pct"/>
            <w:vMerge w:val="continue"/>
            <w:vAlign w:val="center"/>
          </w:tcPr>
          <w:p w14:paraId="3414A069">
            <w:pPr>
              <w:spacing w:line="254" w:lineRule="exact"/>
              <w:jc w:val="center"/>
              <w:rPr>
                <w:rFonts w:ascii="仿宋_GB2312" w:hAnsi="仿宋_GB2312" w:eastAsia="仿宋_GB2312" w:cs="仿宋_GB2312"/>
                <w:sz w:val="24"/>
                <w:szCs w:val="24"/>
                <w:highlight w:val="none"/>
              </w:rPr>
            </w:pPr>
          </w:p>
        </w:tc>
        <w:tc>
          <w:tcPr>
            <w:tcW w:w="2355" w:type="pct"/>
            <w:vAlign w:val="center"/>
          </w:tcPr>
          <w:p w14:paraId="2A41263D">
            <w:pPr>
              <w:spacing w:line="254" w:lineRule="exact"/>
              <w:jc w:val="left"/>
              <w:rPr>
                <w:rFonts w:hint="eastAsia" w:ascii="仿宋_GB2312" w:hAnsi="仿宋_GB2312" w:eastAsia="仿宋_GB2312" w:cs="仿宋_GB2312"/>
                <w:sz w:val="24"/>
                <w:szCs w:val="24"/>
                <w:highlight w:val="none"/>
                <w:lang w:eastAsia="zh-CN"/>
              </w:rPr>
            </w:pPr>
            <w:r>
              <w:rPr>
                <w:rFonts w:hint="eastAsia" w:ascii="仿宋_GB2312" w:hAnsi="仿宋_GB2312" w:eastAsia="仿宋_GB2312" w:cs="仿宋_GB2312"/>
                <w:sz w:val="24"/>
                <w:szCs w:val="24"/>
                <w:highlight w:val="none"/>
              </w:rPr>
              <w:t>深化海绵城市建设，划定城市洪涝风险防控线，建设雨水调蓄池，提高环磁湖、胜阳港谭家桥等片区排涝能力。城市可透水地面面积占建成区的比例不低于47%</w:t>
            </w:r>
            <w:r>
              <w:rPr>
                <w:rFonts w:hint="eastAsia" w:ascii="仿宋_GB2312" w:hAnsi="仿宋_GB2312" w:eastAsia="仿宋_GB2312" w:cs="仿宋_GB2312"/>
                <w:sz w:val="24"/>
                <w:szCs w:val="24"/>
                <w:highlight w:val="none"/>
                <w:lang w:eastAsia="zh-CN"/>
              </w:rPr>
              <w:t>。</w:t>
            </w:r>
          </w:p>
        </w:tc>
        <w:tc>
          <w:tcPr>
            <w:tcW w:w="627" w:type="pct"/>
            <w:vAlign w:val="center"/>
          </w:tcPr>
          <w:p w14:paraId="3AE9FD54">
            <w:pPr>
              <w:spacing w:line="254" w:lineRule="exact"/>
              <w:jc w:val="center"/>
              <w:rPr>
                <w:rFonts w:hint="default" w:ascii="仿宋_GB2312" w:hAnsi="仿宋_GB2312" w:eastAsia="仿宋_GB2312" w:cs="仿宋_GB2312"/>
                <w:sz w:val="24"/>
                <w:szCs w:val="24"/>
                <w:highlight w:val="none"/>
                <w:lang w:val="en-US" w:eastAsia="zh-CN"/>
              </w:rPr>
            </w:pPr>
            <w:r>
              <w:rPr>
                <w:rFonts w:hint="eastAsia" w:ascii="仿宋_GB2312" w:hAnsi="仿宋_GB2312" w:eastAsia="仿宋_GB2312" w:cs="仿宋_GB2312"/>
                <w:sz w:val="24"/>
                <w:szCs w:val="24"/>
                <w:highlight w:val="none"/>
                <w:lang w:val="en-US" w:eastAsia="zh-CN"/>
              </w:rPr>
              <w:t>2027年</w:t>
            </w:r>
          </w:p>
        </w:tc>
        <w:tc>
          <w:tcPr>
            <w:tcW w:w="680" w:type="pct"/>
            <w:vAlign w:val="center"/>
          </w:tcPr>
          <w:p w14:paraId="4B2B1B88">
            <w:pPr>
              <w:spacing w:line="254" w:lineRule="exact"/>
              <w:jc w:val="center"/>
              <w:rPr>
                <w:rFonts w:hint="eastAsia" w:ascii="仿宋_GB2312" w:hAnsi="仿宋_GB2312" w:eastAsia="仿宋_GB2312" w:cs="仿宋_GB2312"/>
                <w:sz w:val="24"/>
                <w:szCs w:val="24"/>
                <w:highlight w:val="none"/>
                <w:lang w:val="en-US" w:eastAsia="zh-CN"/>
              </w:rPr>
            </w:pPr>
            <w:r>
              <w:rPr>
                <w:rFonts w:hint="eastAsia" w:ascii="仿宋_GB2312" w:hAnsi="仿宋_GB2312" w:eastAsia="仿宋_GB2312" w:cs="仿宋_GB2312"/>
                <w:sz w:val="24"/>
                <w:szCs w:val="24"/>
                <w:highlight w:val="none"/>
                <w:lang w:val="en-US" w:eastAsia="zh-CN"/>
              </w:rPr>
              <w:t>市住房和城市更新局</w:t>
            </w:r>
          </w:p>
        </w:tc>
        <w:tc>
          <w:tcPr>
            <w:tcW w:w="923" w:type="pct"/>
            <w:vAlign w:val="center"/>
          </w:tcPr>
          <w:p w14:paraId="03EEC0AE">
            <w:pPr>
              <w:spacing w:line="254" w:lineRule="exact"/>
              <w:jc w:val="center"/>
              <w:rPr>
                <w:rFonts w:hint="default" w:ascii="仿宋_GB2312" w:hAnsi="仿宋_GB2312" w:eastAsia="仿宋_GB2312" w:cs="仿宋_GB2312"/>
                <w:sz w:val="24"/>
                <w:szCs w:val="24"/>
                <w:highlight w:val="none"/>
                <w:lang w:val="en-US" w:eastAsia="zh-CN"/>
              </w:rPr>
            </w:pPr>
            <w:r>
              <w:rPr>
                <w:rFonts w:hint="eastAsia" w:ascii="仿宋_GB2312" w:hAnsi="仿宋_GB2312" w:eastAsia="仿宋_GB2312" w:cs="仿宋_GB2312"/>
                <w:sz w:val="24"/>
                <w:szCs w:val="24"/>
                <w:highlight w:val="none"/>
                <w:lang w:val="en-US" w:eastAsia="zh-CN"/>
              </w:rPr>
              <w:t>市自然资源和城乡建设局、市城管委、市水利和湖泊局</w:t>
            </w:r>
          </w:p>
        </w:tc>
      </w:tr>
      <w:tr w14:paraId="01E18C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3" w:type="pct"/>
            <w:vMerge w:val="continue"/>
            <w:vAlign w:val="center"/>
          </w:tcPr>
          <w:p w14:paraId="2135A14A">
            <w:pPr>
              <w:spacing w:line="254" w:lineRule="exact"/>
              <w:jc w:val="center"/>
              <w:rPr>
                <w:rFonts w:ascii="仿宋_GB2312" w:hAnsi="仿宋_GB2312" w:eastAsia="仿宋_GB2312" w:cs="仿宋_GB2312"/>
                <w:sz w:val="24"/>
                <w:szCs w:val="24"/>
                <w:highlight w:val="none"/>
              </w:rPr>
            </w:pPr>
          </w:p>
        </w:tc>
        <w:tc>
          <w:tcPr>
            <w:tcW w:w="259" w:type="pct"/>
            <w:vMerge w:val="continue"/>
            <w:vAlign w:val="center"/>
          </w:tcPr>
          <w:p w14:paraId="2ABC2B11">
            <w:pPr>
              <w:spacing w:line="254" w:lineRule="exact"/>
              <w:jc w:val="center"/>
              <w:rPr>
                <w:rFonts w:ascii="仿宋_GB2312" w:hAnsi="仿宋_GB2312" w:eastAsia="仿宋_GB2312" w:cs="仿宋_GB2312"/>
                <w:sz w:val="24"/>
                <w:szCs w:val="24"/>
                <w:highlight w:val="none"/>
              </w:rPr>
            </w:pPr>
          </w:p>
        </w:tc>
        <w:tc>
          <w:tcPr>
            <w:tcW w:w="2355" w:type="pct"/>
            <w:vAlign w:val="center"/>
          </w:tcPr>
          <w:p w14:paraId="6DBC301E">
            <w:pPr>
              <w:spacing w:line="254" w:lineRule="exact"/>
              <w:jc w:val="left"/>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推动团城山公园、人民广场等设施老化区域海绵化改造，开展西塞山区海绵城市提升改造工程，建设金山人民公园、黄石市奥林匹克公园等渗滞功能为主的海绵型公园绿地。</w:t>
            </w:r>
          </w:p>
        </w:tc>
        <w:tc>
          <w:tcPr>
            <w:tcW w:w="627" w:type="pct"/>
            <w:vAlign w:val="center"/>
          </w:tcPr>
          <w:p w14:paraId="332FAD90">
            <w:pPr>
              <w:spacing w:line="254" w:lineRule="exact"/>
              <w:jc w:val="center"/>
              <w:rPr>
                <w:rFonts w:hint="default" w:ascii="仿宋_GB2312" w:hAnsi="仿宋_GB2312" w:eastAsia="仿宋_GB2312" w:cs="仿宋_GB2312"/>
                <w:sz w:val="24"/>
                <w:szCs w:val="24"/>
                <w:highlight w:val="none"/>
                <w:lang w:val="en-US" w:eastAsia="zh-CN"/>
              </w:rPr>
            </w:pPr>
            <w:r>
              <w:rPr>
                <w:rFonts w:hint="eastAsia" w:ascii="仿宋_GB2312" w:hAnsi="仿宋_GB2312" w:eastAsia="仿宋_GB2312" w:cs="仿宋_GB2312"/>
                <w:sz w:val="24"/>
                <w:szCs w:val="24"/>
                <w:highlight w:val="none"/>
                <w:lang w:val="en-US" w:eastAsia="zh-CN"/>
              </w:rPr>
              <w:t>2030年</w:t>
            </w:r>
          </w:p>
        </w:tc>
        <w:tc>
          <w:tcPr>
            <w:tcW w:w="680" w:type="pct"/>
            <w:vAlign w:val="center"/>
          </w:tcPr>
          <w:p w14:paraId="5E03ECE9">
            <w:pPr>
              <w:spacing w:line="254" w:lineRule="exact"/>
              <w:jc w:val="center"/>
              <w:rPr>
                <w:rFonts w:hint="eastAsia" w:ascii="仿宋_GB2312" w:hAnsi="仿宋_GB2312" w:eastAsia="仿宋_GB2312" w:cs="仿宋_GB2312"/>
                <w:sz w:val="24"/>
                <w:szCs w:val="24"/>
                <w:highlight w:val="none"/>
                <w:lang w:val="en-US" w:eastAsia="zh-CN"/>
              </w:rPr>
            </w:pPr>
            <w:r>
              <w:rPr>
                <w:rFonts w:hint="eastAsia" w:ascii="仿宋_GB2312" w:hAnsi="仿宋_GB2312" w:eastAsia="仿宋_GB2312" w:cs="仿宋_GB2312"/>
                <w:sz w:val="24"/>
                <w:szCs w:val="24"/>
                <w:highlight w:val="none"/>
                <w:lang w:val="en-US" w:eastAsia="zh-CN"/>
              </w:rPr>
              <w:t>市住房和城市更新局</w:t>
            </w:r>
          </w:p>
        </w:tc>
        <w:tc>
          <w:tcPr>
            <w:tcW w:w="923" w:type="pct"/>
            <w:vAlign w:val="center"/>
          </w:tcPr>
          <w:p w14:paraId="22759CBF">
            <w:pPr>
              <w:spacing w:line="254" w:lineRule="exact"/>
              <w:jc w:val="center"/>
              <w:rPr>
                <w:rFonts w:hint="eastAsia" w:ascii="仿宋_GB2312" w:hAnsi="仿宋_GB2312" w:eastAsia="仿宋_GB2312" w:cs="仿宋_GB2312"/>
                <w:sz w:val="24"/>
                <w:szCs w:val="24"/>
                <w:highlight w:val="none"/>
                <w:lang w:val="en-US" w:eastAsia="zh-CN"/>
              </w:rPr>
            </w:pPr>
            <w:r>
              <w:rPr>
                <w:rFonts w:hint="eastAsia" w:ascii="仿宋_GB2312" w:hAnsi="仿宋_GB2312" w:eastAsia="仿宋_GB2312" w:cs="仿宋_GB2312"/>
                <w:sz w:val="24"/>
                <w:szCs w:val="24"/>
                <w:highlight w:val="none"/>
                <w:lang w:val="en-US" w:eastAsia="zh-CN"/>
              </w:rPr>
              <w:t>市自然资源和城乡建设局、市城管委</w:t>
            </w:r>
          </w:p>
        </w:tc>
      </w:tr>
      <w:tr w14:paraId="43A45D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53" w:type="pct"/>
            <w:vMerge w:val="continue"/>
            <w:vAlign w:val="center"/>
          </w:tcPr>
          <w:p w14:paraId="35710B4F">
            <w:pPr>
              <w:spacing w:line="254" w:lineRule="exact"/>
              <w:jc w:val="center"/>
              <w:rPr>
                <w:rFonts w:ascii="仿宋_GB2312" w:hAnsi="仿宋_GB2312" w:eastAsia="仿宋_GB2312" w:cs="仿宋_GB2312"/>
                <w:sz w:val="24"/>
                <w:szCs w:val="24"/>
                <w:highlight w:val="none"/>
              </w:rPr>
            </w:pPr>
          </w:p>
        </w:tc>
        <w:tc>
          <w:tcPr>
            <w:tcW w:w="259" w:type="pct"/>
            <w:vMerge w:val="restart"/>
            <w:vAlign w:val="center"/>
          </w:tcPr>
          <w:p w14:paraId="5CDFD97A">
            <w:pPr>
              <w:spacing w:line="254" w:lineRule="exact"/>
              <w:jc w:val="center"/>
              <w:rPr>
                <w:rFonts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lang w:val="en-US" w:eastAsia="zh-CN"/>
              </w:rPr>
              <w:t>15.</w:t>
            </w:r>
            <w:r>
              <w:rPr>
                <w:rFonts w:hint="eastAsia" w:ascii="仿宋_GB2312" w:hAnsi="仿宋_GB2312" w:eastAsia="仿宋_GB2312" w:cs="仿宋_GB2312"/>
                <w:sz w:val="24"/>
                <w:szCs w:val="24"/>
                <w:highlight w:val="none"/>
              </w:rPr>
              <w:t>严控重点领域环境风险</w:t>
            </w:r>
          </w:p>
        </w:tc>
        <w:tc>
          <w:tcPr>
            <w:tcW w:w="2355" w:type="pct"/>
            <w:vAlign w:val="center"/>
          </w:tcPr>
          <w:p w14:paraId="00A5AC0C">
            <w:pPr>
              <w:spacing w:line="254" w:lineRule="exact"/>
              <w:jc w:val="left"/>
              <w:rPr>
                <w:rFonts w:hint="eastAsia" w:ascii="仿宋_GB2312" w:hAnsi="仿宋_GB2312" w:eastAsia="仿宋_GB2312" w:cs="仿宋_GB2312"/>
                <w:sz w:val="24"/>
                <w:szCs w:val="24"/>
                <w:highlight w:val="none"/>
                <w:lang w:eastAsia="zh-CN"/>
              </w:rPr>
            </w:pPr>
            <w:r>
              <w:rPr>
                <w:rFonts w:hint="eastAsia" w:ascii="仿宋_GB2312" w:hAnsi="仿宋_GB2312" w:eastAsia="仿宋_GB2312" w:cs="仿宋_GB2312"/>
                <w:sz w:val="24"/>
                <w:szCs w:val="24"/>
                <w:highlight w:val="none"/>
              </w:rPr>
              <w:t>开展危险废物利用处置设施环境风险评估和提标改造</w:t>
            </w:r>
            <w:r>
              <w:rPr>
                <w:rFonts w:hint="eastAsia" w:ascii="仿宋_GB2312" w:hAnsi="仿宋_GB2312" w:eastAsia="仿宋_GB2312" w:cs="仿宋_GB2312"/>
                <w:sz w:val="24"/>
                <w:szCs w:val="24"/>
                <w:highlight w:val="none"/>
                <w:lang w:eastAsia="zh-CN"/>
              </w:rPr>
              <w:t>。</w:t>
            </w:r>
            <w:r>
              <w:rPr>
                <w:rFonts w:hint="eastAsia" w:ascii="仿宋_GB2312" w:hAnsi="仿宋_GB2312" w:eastAsia="仿宋_GB2312" w:cs="仿宋_GB2312"/>
                <w:sz w:val="24"/>
                <w:szCs w:val="24"/>
                <w:highlight w:val="none"/>
              </w:rPr>
              <w:t>实施重金属环境安全隐患排查整治行动，加强重金属环境风险分区域差异化精准管控。</w:t>
            </w:r>
          </w:p>
        </w:tc>
        <w:tc>
          <w:tcPr>
            <w:tcW w:w="627" w:type="pct"/>
            <w:vAlign w:val="center"/>
          </w:tcPr>
          <w:p w14:paraId="566884EC">
            <w:pPr>
              <w:spacing w:line="254" w:lineRule="exact"/>
              <w:jc w:val="center"/>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lang w:val="en-US" w:eastAsia="zh-CN"/>
              </w:rPr>
              <w:t>2030年</w:t>
            </w:r>
          </w:p>
        </w:tc>
        <w:tc>
          <w:tcPr>
            <w:tcW w:w="680" w:type="pct"/>
            <w:vAlign w:val="center"/>
          </w:tcPr>
          <w:p w14:paraId="743145AC">
            <w:pPr>
              <w:spacing w:line="254" w:lineRule="exact"/>
              <w:jc w:val="center"/>
              <w:rPr>
                <w:rFonts w:hint="default" w:ascii="仿宋_GB2312" w:hAnsi="仿宋_GB2312" w:eastAsia="仿宋_GB2312" w:cs="仿宋_GB2312"/>
                <w:sz w:val="24"/>
                <w:szCs w:val="24"/>
                <w:highlight w:val="none"/>
                <w:lang w:val="en-US" w:eastAsia="zh-CN"/>
              </w:rPr>
            </w:pPr>
            <w:r>
              <w:rPr>
                <w:rFonts w:hint="eastAsia" w:ascii="仿宋_GB2312" w:hAnsi="仿宋_GB2312" w:eastAsia="仿宋_GB2312" w:cs="仿宋_GB2312"/>
                <w:sz w:val="24"/>
                <w:szCs w:val="24"/>
                <w:highlight w:val="none"/>
                <w:lang w:val="en-US" w:eastAsia="zh-CN"/>
              </w:rPr>
              <w:t>市生态环境局</w:t>
            </w:r>
          </w:p>
        </w:tc>
        <w:tc>
          <w:tcPr>
            <w:tcW w:w="923" w:type="pct"/>
            <w:vAlign w:val="center"/>
          </w:tcPr>
          <w:p w14:paraId="6C95F086">
            <w:pPr>
              <w:spacing w:line="254" w:lineRule="exact"/>
              <w:jc w:val="center"/>
              <w:rPr>
                <w:rFonts w:hint="default" w:ascii="仿宋_GB2312" w:hAnsi="仿宋_GB2312" w:eastAsia="仿宋_GB2312" w:cs="仿宋_GB2312"/>
                <w:sz w:val="24"/>
                <w:szCs w:val="24"/>
                <w:highlight w:val="none"/>
                <w:lang w:val="en-US" w:eastAsia="zh-CN"/>
              </w:rPr>
            </w:pPr>
            <w:r>
              <w:rPr>
                <w:rFonts w:hint="eastAsia" w:ascii="仿宋_GB2312" w:hAnsi="仿宋_GB2312" w:eastAsia="仿宋_GB2312" w:cs="仿宋_GB2312"/>
                <w:sz w:val="24"/>
                <w:szCs w:val="24"/>
                <w:highlight w:val="none"/>
                <w:lang w:val="en-US" w:eastAsia="zh-CN"/>
              </w:rPr>
              <w:t>市经信局、市应急管理局</w:t>
            </w:r>
          </w:p>
        </w:tc>
      </w:tr>
      <w:tr w14:paraId="28244D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3" w:type="pct"/>
            <w:vMerge w:val="continue"/>
            <w:vAlign w:val="center"/>
          </w:tcPr>
          <w:p w14:paraId="22D17695">
            <w:pPr>
              <w:widowControl w:val="0"/>
              <w:spacing w:after="120" w:afterAutospacing="0"/>
              <w:ind w:left="420" w:leftChars="200" w:firstLine="420" w:firstLineChars="200"/>
              <w:jc w:val="both"/>
              <w:rPr>
                <w:rFonts w:ascii="Calibri" w:hAnsi="Calibri" w:eastAsia="宋体" w:cs="Times New Roman"/>
                <w:kern w:val="2"/>
                <w:sz w:val="21"/>
                <w:szCs w:val="24"/>
                <w:highlight w:val="none"/>
                <w:lang w:val="en-US" w:eastAsia="zh-CN" w:bidi="ar-SA"/>
              </w:rPr>
            </w:pPr>
          </w:p>
        </w:tc>
        <w:tc>
          <w:tcPr>
            <w:tcW w:w="259" w:type="pct"/>
            <w:vMerge w:val="continue"/>
            <w:vAlign w:val="center"/>
          </w:tcPr>
          <w:p w14:paraId="7578645E">
            <w:pPr>
              <w:spacing w:line="254" w:lineRule="exact"/>
              <w:jc w:val="center"/>
              <w:rPr>
                <w:rFonts w:ascii="仿宋_GB2312" w:hAnsi="仿宋_GB2312" w:eastAsia="仿宋_GB2312" w:cs="仿宋_GB2312"/>
                <w:sz w:val="24"/>
                <w:szCs w:val="24"/>
                <w:highlight w:val="none"/>
              </w:rPr>
            </w:pPr>
          </w:p>
        </w:tc>
        <w:tc>
          <w:tcPr>
            <w:tcW w:w="2355" w:type="pct"/>
            <w:vAlign w:val="center"/>
          </w:tcPr>
          <w:p w14:paraId="6FC72C9D">
            <w:pPr>
              <w:spacing w:line="254" w:lineRule="exact"/>
              <w:jc w:val="left"/>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加强新污染物环境风险防控，制定重点新污染物清单，加强抗生素、环境激素等新污染物监测、评估与治理。</w:t>
            </w:r>
          </w:p>
        </w:tc>
        <w:tc>
          <w:tcPr>
            <w:tcW w:w="627" w:type="pct"/>
            <w:vAlign w:val="center"/>
          </w:tcPr>
          <w:p w14:paraId="1C82EA48">
            <w:pPr>
              <w:spacing w:line="254" w:lineRule="exact"/>
              <w:jc w:val="center"/>
              <w:rPr>
                <w:rFonts w:hint="default" w:ascii="仿宋_GB2312" w:hAnsi="仿宋_GB2312" w:eastAsia="仿宋_GB2312" w:cs="仿宋_GB2312"/>
                <w:sz w:val="24"/>
                <w:szCs w:val="24"/>
                <w:highlight w:val="none"/>
                <w:lang w:val="en-US" w:eastAsia="zh-CN"/>
              </w:rPr>
            </w:pPr>
            <w:r>
              <w:rPr>
                <w:rFonts w:hint="eastAsia" w:ascii="仿宋_GB2312" w:hAnsi="仿宋_GB2312" w:eastAsia="仿宋_GB2312" w:cs="仿宋_GB2312"/>
                <w:sz w:val="24"/>
                <w:szCs w:val="24"/>
                <w:highlight w:val="none"/>
                <w:lang w:val="en-US" w:eastAsia="zh-CN"/>
              </w:rPr>
              <w:t>持续开展</w:t>
            </w:r>
          </w:p>
        </w:tc>
        <w:tc>
          <w:tcPr>
            <w:tcW w:w="680" w:type="pct"/>
            <w:vAlign w:val="center"/>
          </w:tcPr>
          <w:p w14:paraId="1B560A39">
            <w:pPr>
              <w:spacing w:line="254" w:lineRule="exact"/>
              <w:jc w:val="center"/>
              <w:rPr>
                <w:rFonts w:hint="eastAsia" w:ascii="仿宋_GB2312" w:hAnsi="仿宋_GB2312" w:eastAsia="仿宋_GB2312" w:cs="仿宋_GB2312"/>
                <w:kern w:val="2"/>
                <w:sz w:val="24"/>
                <w:szCs w:val="24"/>
                <w:highlight w:val="none"/>
                <w:lang w:val="en-US" w:eastAsia="zh-CN" w:bidi="ar-SA"/>
              </w:rPr>
            </w:pPr>
            <w:r>
              <w:rPr>
                <w:rFonts w:hint="eastAsia" w:ascii="仿宋_GB2312" w:hAnsi="仿宋_GB2312" w:eastAsia="仿宋_GB2312" w:cs="仿宋_GB2312"/>
                <w:sz w:val="24"/>
                <w:szCs w:val="24"/>
                <w:highlight w:val="none"/>
                <w:lang w:val="en-US" w:eastAsia="zh-CN"/>
              </w:rPr>
              <w:t>市生态环境局</w:t>
            </w:r>
          </w:p>
        </w:tc>
        <w:tc>
          <w:tcPr>
            <w:tcW w:w="923" w:type="pct"/>
            <w:vAlign w:val="center"/>
          </w:tcPr>
          <w:p w14:paraId="22D0CD84">
            <w:pPr>
              <w:spacing w:line="254" w:lineRule="exact"/>
              <w:jc w:val="center"/>
              <w:rPr>
                <w:rFonts w:hint="default" w:ascii="仿宋_GB2312" w:hAnsi="仿宋_GB2312" w:eastAsia="仿宋_GB2312" w:cs="仿宋_GB2312"/>
                <w:kern w:val="2"/>
                <w:sz w:val="24"/>
                <w:szCs w:val="24"/>
                <w:highlight w:val="none"/>
                <w:lang w:val="en-US" w:eastAsia="zh-CN" w:bidi="ar-SA"/>
              </w:rPr>
            </w:pPr>
          </w:p>
        </w:tc>
      </w:tr>
      <w:tr w14:paraId="484BCF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3" w:type="pct"/>
            <w:vMerge w:val="continue"/>
            <w:vAlign w:val="center"/>
          </w:tcPr>
          <w:p w14:paraId="38566429">
            <w:pPr>
              <w:widowControl w:val="0"/>
              <w:spacing w:after="120" w:afterAutospacing="0"/>
              <w:ind w:left="420" w:leftChars="200" w:firstLine="420" w:firstLineChars="200"/>
              <w:jc w:val="both"/>
              <w:rPr>
                <w:rFonts w:ascii="Calibri" w:hAnsi="Calibri" w:eastAsia="宋体" w:cs="Times New Roman"/>
                <w:kern w:val="2"/>
                <w:sz w:val="21"/>
                <w:szCs w:val="24"/>
                <w:highlight w:val="none"/>
                <w:lang w:val="en-US" w:eastAsia="zh-CN" w:bidi="ar-SA"/>
              </w:rPr>
            </w:pPr>
          </w:p>
        </w:tc>
        <w:tc>
          <w:tcPr>
            <w:tcW w:w="259" w:type="pct"/>
            <w:vMerge w:val="continue"/>
            <w:vAlign w:val="center"/>
          </w:tcPr>
          <w:p w14:paraId="0C38B0CB">
            <w:pPr>
              <w:spacing w:line="254" w:lineRule="exact"/>
              <w:jc w:val="center"/>
              <w:rPr>
                <w:rFonts w:ascii="仿宋_GB2312" w:hAnsi="仿宋_GB2312" w:eastAsia="仿宋_GB2312" w:cs="仿宋_GB2312"/>
                <w:sz w:val="24"/>
                <w:szCs w:val="24"/>
                <w:highlight w:val="none"/>
              </w:rPr>
            </w:pPr>
          </w:p>
        </w:tc>
        <w:tc>
          <w:tcPr>
            <w:tcW w:w="2355" w:type="pct"/>
            <w:vAlign w:val="center"/>
          </w:tcPr>
          <w:p w14:paraId="3A5790A2">
            <w:pPr>
              <w:spacing w:line="254" w:lineRule="exact"/>
              <w:jc w:val="left"/>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加强放射源及电磁辐射设施的安全监管，定期开展放射源隐患排查及核技术利用单位安全检查。</w:t>
            </w:r>
          </w:p>
        </w:tc>
        <w:tc>
          <w:tcPr>
            <w:tcW w:w="627" w:type="pct"/>
            <w:vAlign w:val="center"/>
          </w:tcPr>
          <w:p w14:paraId="0628A257">
            <w:pPr>
              <w:spacing w:line="254" w:lineRule="exact"/>
              <w:jc w:val="center"/>
              <w:rPr>
                <w:rFonts w:hint="eastAsia" w:ascii="仿宋_GB2312" w:hAnsi="仿宋_GB2312" w:eastAsia="仿宋_GB2312" w:cs="仿宋_GB2312"/>
                <w:kern w:val="2"/>
                <w:sz w:val="24"/>
                <w:szCs w:val="24"/>
                <w:highlight w:val="none"/>
                <w:lang w:val="en-US" w:eastAsia="zh-CN" w:bidi="ar-SA"/>
              </w:rPr>
            </w:pPr>
            <w:r>
              <w:rPr>
                <w:rFonts w:hint="eastAsia" w:ascii="仿宋_GB2312" w:hAnsi="仿宋_GB2312" w:eastAsia="仿宋_GB2312" w:cs="仿宋_GB2312"/>
                <w:sz w:val="24"/>
                <w:szCs w:val="24"/>
                <w:highlight w:val="none"/>
                <w:lang w:val="en-US" w:eastAsia="zh-CN"/>
              </w:rPr>
              <w:t>持续开展</w:t>
            </w:r>
          </w:p>
        </w:tc>
        <w:tc>
          <w:tcPr>
            <w:tcW w:w="680" w:type="pct"/>
            <w:vAlign w:val="center"/>
          </w:tcPr>
          <w:p w14:paraId="011B0206">
            <w:pPr>
              <w:spacing w:line="254" w:lineRule="exact"/>
              <w:jc w:val="center"/>
              <w:rPr>
                <w:rFonts w:hint="eastAsia" w:ascii="仿宋_GB2312" w:hAnsi="仿宋_GB2312" w:eastAsia="仿宋_GB2312" w:cs="仿宋_GB2312"/>
                <w:kern w:val="2"/>
                <w:sz w:val="24"/>
                <w:szCs w:val="24"/>
                <w:highlight w:val="none"/>
                <w:lang w:val="en-US" w:eastAsia="zh-CN" w:bidi="ar-SA"/>
              </w:rPr>
            </w:pPr>
            <w:r>
              <w:rPr>
                <w:rFonts w:hint="eastAsia" w:ascii="仿宋_GB2312" w:hAnsi="仿宋_GB2312" w:eastAsia="仿宋_GB2312" w:cs="仿宋_GB2312"/>
                <w:sz w:val="24"/>
                <w:szCs w:val="24"/>
                <w:highlight w:val="none"/>
                <w:lang w:val="en-US" w:eastAsia="zh-CN"/>
              </w:rPr>
              <w:t>市生态环境局</w:t>
            </w:r>
          </w:p>
        </w:tc>
        <w:tc>
          <w:tcPr>
            <w:tcW w:w="923" w:type="pct"/>
            <w:vAlign w:val="center"/>
          </w:tcPr>
          <w:p w14:paraId="4ACFBAB6">
            <w:pPr>
              <w:spacing w:line="254" w:lineRule="exact"/>
              <w:jc w:val="center"/>
              <w:rPr>
                <w:rFonts w:hint="eastAsia" w:ascii="仿宋_GB2312" w:hAnsi="仿宋_GB2312" w:eastAsia="仿宋_GB2312" w:cs="仿宋_GB2312"/>
                <w:sz w:val="24"/>
                <w:szCs w:val="24"/>
                <w:highlight w:val="none"/>
                <w:lang w:val="en-US" w:eastAsia="zh-CN"/>
              </w:rPr>
            </w:pPr>
            <w:r>
              <w:rPr>
                <w:rFonts w:hint="eastAsia" w:ascii="仿宋_GB2312" w:hAnsi="仿宋_GB2312" w:eastAsia="仿宋_GB2312" w:cs="仿宋_GB2312"/>
                <w:sz w:val="24"/>
                <w:szCs w:val="24"/>
                <w:highlight w:val="none"/>
                <w:lang w:val="en-US" w:eastAsia="zh-CN"/>
              </w:rPr>
              <w:t>市公安局</w:t>
            </w:r>
          </w:p>
        </w:tc>
      </w:tr>
      <w:tr w14:paraId="208C40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3" w:type="pct"/>
            <w:vMerge w:val="continue"/>
            <w:vAlign w:val="center"/>
          </w:tcPr>
          <w:p w14:paraId="07134C34">
            <w:pPr>
              <w:widowControl w:val="0"/>
              <w:spacing w:after="120" w:afterAutospacing="0"/>
              <w:ind w:left="420" w:leftChars="200" w:firstLine="420" w:firstLineChars="200"/>
              <w:jc w:val="both"/>
              <w:rPr>
                <w:rFonts w:ascii="Calibri" w:hAnsi="Calibri" w:eastAsia="宋体" w:cs="Times New Roman"/>
                <w:kern w:val="2"/>
                <w:sz w:val="21"/>
                <w:szCs w:val="24"/>
                <w:highlight w:val="none"/>
                <w:lang w:val="en-US" w:eastAsia="zh-CN" w:bidi="ar-SA"/>
              </w:rPr>
            </w:pPr>
          </w:p>
        </w:tc>
        <w:tc>
          <w:tcPr>
            <w:tcW w:w="259" w:type="pct"/>
            <w:vMerge w:val="continue"/>
            <w:vAlign w:val="center"/>
          </w:tcPr>
          <w:p w14:paraId="07DA34C8">
            <w:pPr>
              <w:spacing w:line="254" w:lineRule="exact"/>
              <w:jc w:val="center"/>
              <w:rPr>
                <w:rFonts w:ascii="仿宋_GB2312" w:hAnsi="仿宋_GB2312" w:eastAsia="仿宋_GB2312" w:cs="仿宋_GB2312"/>
                <w:sz w:val="24"/>
                <w:szCs w:val="24"/>
                <w:highlight w:val="none"/>
              </w:rPr>
            </w:pPr>
          </w:p>
        </w:tc>
        <w:tc>
          <w:tcPr>
            <w:tcW w:w="2355" w:type="pct"/>
            <w:vAlign w:val="center"/>
          </w:tcPr>
          <w:p w14:paraId="222941B6">
            <w:pPr>
              <w:spacing w:line="254" w:lineRule="exact"/>
              <w:jc w:val="left"/>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推进西塞山工业园区化工园“一园一策一图”。</w:t>
            </w:r>
          </w:p>
        </w:tc>
        <w:tc>
          <w:tcPr>
            <w:tcW w:w="627" w:type="pct"/>
            <w:vAlign w:val="center"/>
          </w:tcPr>
          <w:p w14:paraId="43E127C4">
            <w:pPr>
              <w:spacing w:line="254" w:lineRule="exact"/>
              <w:jc w:val="center"/>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lang w:val="en-US" w:eastAsia="zh-CN"/>
              </w:rPr>
              <w:t>2030年</w:t>
            </w:r>
          </w:p>
        </w:tc>
        <w:tc>
          <w:tcPr>
            <w:tcW w:w="680" w:type="pct"/>
            <w:vAlign w:val="center"/>
          </w:tcPr>
          <w:p w14:paraId="4791A417">
            <w:pPr>
              <w:spacing w:line="254" w:lineRule="exact"/>
              <w:jc w:val="center"/>
              <w:rPr>
                <w:rFonts w:hint="default" w:ascii="仿宋_GB2312" w:hAnsi="仿宋_GB2312" w:eastAsia="仿宋_GB2312" w:cs="仿宋_GB2312"/>
                <w:sz w:val="24"/>
                <w:szCs w:val="24"/>
                <w:highlight w:val="none"/>
                <w:lang w:val="en-US" w:eastAsia="zh-CN"/>
              </w:rPr>
            </w:pPr>
            <w:r>
              <w:rPr>
                <w:rFonts w:hint="eastAsia" w:ascii="仿宋_GB2312" w:hAnsi="仿宋_GB2312" w:eastAsia="仿宋_GB2312" w:cs="仿宋_GB2312"/>
                <w:sz w:val="24"/>
                <w:szCs w:val="24"/>
                <w:highlight w:val="none"/>
                <w:lang w:val="en-US" w:eastAsia="zh-CN"/>
              </w:rPr>
              <w:t>市生态环境局</w:t>
            </w:r>
          </w:p>
        </w:tc>
        <w:tc>
          <w:tcPr>
            <w:tcW w:w="923" w:type="pct"/>
            <w:vAlign w:val="center"/>
          </w:tcPr>
          <w:p w14:paraId="53F84E9D">
            <w:pPr>
              <w:spacing w:line="254" w:lineRule="exact"/>
              <w:jc w:val="center"/>
              <w:rPr>
                <w:rFonts w:hint="default" w:ascii="仿宋_GB2312" w:hAnsi="仿宋_GB2312" w:eastAsia="仿宋_GB2312" w:cs="仿宋_GB2312"/>
                <w:sz w:val="24"/>
                <w:szCs w:val="24"/>
                <w:highlight w:val="none"/>
                <w:lang w:val="en-US" w:eastAsia="zh-CN"/>
              </w:rPr>
            </w:pPr>
          </w:p>
        </w:tc>
      </w:tr>
      <w:tr w14:paraId="3B64D6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jc w:val="center"/>
        </w:trPr>
        <w:tc>
          <w:tcPr>
            <w:tcW w:w="153" w:type="pct"/>
            <w:vMerge w:val="continue"/>
            <w:vAlign w:val="center"/>
          </w:tcPr>
          <w:p w14:paraId="01A90FF6">
            <w:pPr>
              <w:spacing w:line="254" w:lineRule="exact"/>
              <w:jc w:val="center"/>
              <w:rPr>
                <w:rFonts w:ascii="仿宋_GB2312" w:hAnsi="仿宋_GB2312" w:eastAsia="仿宋_GB2312" w:cs="仿宋_GB2312"/>
                <w:sz w:val="24"/>
                <w:szCs w:val="24"/>
                <w:highlight w:val="none"/>
              </w:rPr>
            </w:pPr>
          </w:p>
        </w:tc>
        <w:tc>
          <w:tcPr>
            <w:tcW w:w="259" w:type="pct"/>
            <w:vMerge w:val="continue"/>
            <w:vAlign w:val="center"/>
          </w:tcPr>
          <w:p w14:paraId="546884C6">
            <w:pPr>
              <w:spacing w:line="254" w:lineRule="exact"/>
              <w:jc w:val="center"/>
              <w:rPr>
                <w:rFonts w:ascii="仿宋_GB2312" w:hAnsi="仿宋_GB2312" w:eastAsia="仿宋_GB2312" w:cs="仿宋_GB2312"/>
                <w:sz w:val="24"/>
                <w:szCs w:val="24"/>
                <w:highlight w:val="none"/>
              </w:rPr>
            </w:pPr>
          </w:p>
        </w:tc>
        <w:tc>
          <w:tcPr>
            <w:tcW w:w="2355" w:type="pct"/>
            <w:vAlign w:val="center"/>
          </w:tcPr>
          <w:p w14:paraId="377DEAF1">
            <w:pPr>
              <w:spacing w:line="254" w:lineRule="exact"/>
              <w:jc w:val="left"/>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实施居民生态环境</w:t>
            </w:r>
            <w:r>
              <w:rPr>
                <w:rFonts w:hint="eastAsia" w:ascii="仿宋_GB2312" w:hAnsi="仿宋_GB2312" w:eastAsia="仿宋_GB2312" w:cs="仿宋_GB2312"/>
                <w:sz w:val="24"/>
                <w:szCs w:val="24"/>
                <w:highlight w:val="none"/>
                <w:lang w:eastAsia="zh-CN"/>
              </w:rPr>
              <w:t>健康</w:t>
            </w:r>
            <w:r>
              <w:rPr>
                <w:rFonts w:hint="eastAsia" w:ascii="仿宋_GB2312" w:hAnsi="仿宋_GB2312" w:eastAsia="仿宋_GB2312" w:cs="仿宋_GB2312"/>
                <w:sz w:val="24"/>
                <w:szCs w:val="24"/>
                <w:highlight w:val="none"/>
              </w:rPr>
              <w:t>素养提升行动。</w:t>
            </w:r>
          </w:p>
        </w:tc>
        <w:tc>
          <w:tcPr>
            <w:tcW w:w="627" w:type="pct"/>
            <w:vAlign w:val="center"/>
          </w:tcPr>
          <w:p w14:paraId="2BFFB0D7">
            <w:pPr>
              <w:spacing w:line="254" w:lineRule="exact"/>
              <w:jc w:val="center"/>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lang w:val="en-US" w:eastAsia="zh-CN"/>
              </w:rPr>
              <w:t>2030年</w:t>
            </w:r>
          </w:p>
        </w:tc>
        <w:tc>
          <w:tcPr>
            <w:tcW w:w="680" w:type="pct"/>
            <w:vAlign w:val="center"/>
          </w:tcPr>
          <w:p w14:paraId="24BA2EAF">
            <w:pPr>
              <w:spacing w:line="254" w:lineRule="exact"/>
              <w:jc w:val="center"/>
              <w:rPr>
                <w:rFonts w:hint="eastAsia" w:ascii="仿宋_GB2312" w:hAnsi="仿宋_GB2312" w:eastAsia="仿宋_GB2312" w:cs="仿宋_GB2312"/>
                <w:sz w:val="24"/>
                <w:szCs w:val="24"/>
                <w:highlight w:val="none"/>
                <w:lang w:val="en-US" w:eastAsia="zh-CN"/>
              </w:rPr>
            </w:pPr>
            <w:r>
              <w:rPr>
                <w:rFonts w:hint="eastAsia" w:ascii="仿宋_GB2312" w:hAnsi="仿宋_GB2312" w:eastAsia="仿宋_GB2312" w:cs="仿宋_GB2312"/>
                <w:sz w:val="24"/>
                <w:szCs w:val="24"/>
                <w:highlight w:val="none"/>
                <w:lang w:val="en-US" w:eastAsia="zh-CN"/>
              </w:rPr>
              <w:t>市生态环境局</w:t>
            </w:r>
          </w:p>
        </w:tc>
        <w:tc>
          <w:tcPr>
            <w:tcW w:w="923" w:type="pct"/>
            <w:vAlign w:val="center"/>
          </w:tcPr>
          <w:p w14:paraId="52B3D0E8">
            <w:pPr>
              <w:spacing w:line="254" w:lineRule="exact"/>
              <w:jc w:val="center"/>
              <w:rPr>
                <w:rFonts w:hint="default" w:ascii="仿宋_GB2312" w:hAnsi="仿宋_GB2312" w:eastAsia="仿宋_GB2312" w:cs="仿宋_GB2312"/>
                <w:sz w:val="24"/>
                <w:szCs w:val="24"/>
                <w:highlight w:val="none"/>
                <w:lang w:val="en-US" w:eastAsia="zh-CN"/>
              </w:rPr>
            </w:pPr>
          </w:p>
        </w:tc>
      </w:tr>
      <w:tr w14:paraId="733939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3" w:type="pct"/>
            <w:vMerge w:val="restart"/>
            <w:vAlign w:val="center"/>
          </w:tcPr>
          <w:p w14:paraId="505DA61F">
            <w:pPr>
              <w:spacing w:line="254" w:lineRule="exact"/>
              <w:jc w:val="center"/>
              <w:rPr>
                <w:rFonts w:hint="eastAsia" w:ascii="仿宋_GB2312" w:hAnsi="仿宋_GB2312" w:eastAsia="仿宋_GB2312" w:cs="仿宋_GB2312"/>
                <w:sz w:val="24"/>
                <w:szCs w:val="24"/>
                <w:highlight w:val="none"/>
                <w:lang w:val="en-US" w:eastAsia="zh-CN"/>
              </w:rPr>
            </w:pPr>
            <w:r>
              <w:rPr>
                <w:rFonts w:hint="eastAsia" w:ascii="仿宋_GB2312" w:hAnsi="仿宋_GB2312" w:eastAsia="仿宋_GB2312" w:cs="仿宋_GB2312"/>
                <w:sz w:val="24"/>
                <w:szCs w:val="24"/>
                <w:highlight w:val="none"/>
                <w:lang w:val="en-US" w:eastAsia="zh-CN"/>
              </w:rPr>
              <w:t>智慧高效</w:t>
            </w:r>
          </w:p>
        </w:tc>
        <w:tc>
          <w:tcPr>
            <w:tcW w:w="259" w:type="pct"/>
            <w:vMerge w:val="restart"/>
            <w:vAlign w:val="center"/>
          </w:tcPr>
          <w:p w14:paraId="362CECE0">
            <w:pPr>
              <w:spacing w:line="254" w:lineRule="exact"/>
              <w:jc w:val="center"/>
              <w:rPr>
                <w:rFonts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lang w:val="en-US" w:eastAsia="zh-CN"/>
              </w:rPr>
              <w:t>16.</w:t>
            </w:r>
            <w:r>
              <w:rPr>
                <w:rFonts w:hint="eastAsia" w:ascii="仿宋_GB2312" w:hAnsi="仿宋_GB2312" w:eastAsia="仿宋_GB2312" w:cs="仿宋_GB2312"/>
                <w:sz w:val="24"/>
                <w:szCs w:val="24"/>
                <w:highlight w:val="none"/>
              </w:rPr>
              <w:t>推进城市智慧化管理</w:t>
            </w:r>
          </w:p>
        </w:tc>
        <w:tc>
          <w:tcPr>
            <w:tcW w:w="2355" w:type="pct"/>
            <w:vAlign w:val="center"/>
          </w:tcPr>
          <w:p w14:paraId="340763E8">
            <w:pPr>
              <w:spacing w:line="254" w:lineRule="exact"/>
              <w:jc w:val="left"/>
              <w:rPr>
                <w:rFonts w:hint="default" w:ascii="仿宋_GB2312" w:hAnsi="仿宋_GB2312" w:eastAsia="仿宋_GB2312" w:cs="仿宋_GB2312"/>
                <w:sz w:val="24"/>
                <w:szCs w:val="24"/>
                <w:highlight w:val="none"/>
                <w:lang w:val="en-US" w:eastAsia="zh-CN"/>
              </w:rPr>
            </w:pPr>
            <w:r>
              <w:rPr>
                <w:rFonts w:hint="eastAsia" w:ascii="仿宋_GB2312" w:hAnsi="仿宋_GB2312" w:eastAsia="仿宋_GB2312" w:cs="仿宋_GB2312"/>
                <w:sz w:val="24"/>
                <w:szCs w:val="24"/>
                <w:highlight w:val="none"/>
              </w:rPr>
              <w:t>加快推进“万兆城市”建设，实现5G-A网络规模化覆盖。建设大数据中心，健全地下管线、地面设施数字化档案，推广综合管廊模式，打造数字孪生城市。</w:t>
            </w:r>
            <w:r>
              <w:rPr>
                <w:rFonts w:hint="eastAsia" w:ascii="仿宋_GB2312" w:hAnsi="仿宋_GB2312" w:eastAsia="仿宋_GB2312" w:cs="仿宋_GB2312"/>
                <w:sz w:val="24"/>
                <w:szCs w:val="24"/>
                <w:highlight w:val="none"/>
                <w:lang w:val="en-US" w:eastAsia="zh-CN"/>
              </w:rPr>
              <w:t>到2027年，全市5G基站总数达到6500个，</w:t>
            </w:r>
          </w:p>
        </w:tc>
        <w:tc>
          <w:tcPr>
            <w:tcW w:w="627" w:type="pct"/>
            <w:vAlign w:val="center"/>
          </w:tcPr>
          <w:p w14:paraId="6E8B1E0E">
            <w:pPr>
              <w:spacing w:line="254" w:lineRule="exact"/>
              <w:jc w:val="center"/>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lang w:val="en-US" w:eastAsia="zh-CN"/>
              </w:rPr>
              <w:t>2027年</w:t>
            </w:r>
          </w:p>
        </w:tc>
        <w:tc>
          <w:tcPr>
            <w:tcW w:w="680" w:type="pct"/>
            <w:vAlign w:val="center"/>
          </w:tcPr>
          <w:p w14:paraId="126ABEB7">
            <w:pPr>
              <w:spacing w:line="254" w:lineRule="exact"/>
              <w:jc w:val="center"/>
              <w:rPr>
                <w:rFonts w:hint="default" w:ascii="仿宋_GB2312" w:hAnsi="仿宋_GB2312" w:eastAsia="仿宋_GB2312" w:cs="仿宋_GB2312"/>
                <w:sz w:val="24"/>
                <w:szCs w:val="24"/>
                <w:highlight w:val="none"/>
                <w:lang w:val="en-US" w:eastAsia="zh-CN"/>
              </w:rPr>
            </w:pPr>
            <w:r>
              <w:rPr>
                <w:rFonts w:hint="eastAsia" w:ascii="仿宋_GB2312" w:hAnsi="仿宋_GB2312" w:eastAsia="仿宋_GB2312" w:cs="仿宋_GB2312"/>
                <w:sz w:val="24"/>
                <w:szCs w:val="24"/>
                <w:highlight w:val="none"/>
                <w:lang w:val="en-US" w:eastAsia="zh-CN"/>
              </w:rPr>
              <w:t>市经信局</w:t>
            </w:r>
          </w:p>
        </w:tc>
        <w:tc>
          <w:tcPr>
            <w:tcW w:w="923" w:type="pct"/>
            <w:vAlign w:val="center"/>
          </w:tcPr>
          <w:p w14:paraId="37A26D22">
            <w:pPr>
              <w:spacing w:line="254" w:lineRule="exact"/>
              <w:jc w:val="center"/>
              <w:rPr>
                <w:rFonts w:hint="eastAsia" w:ascii="仿宋_GB2312" w:hAnsi="仿宋_GB2312" w:eastAsia="仿宋_GB2312" w:cs="仿宋_GB2312"/>
                <w:sz w:val="24"/>
                <w:szCs w:val="24"/>
                <w:highlight w:val="none"/>
                <w:lang w:val="en-US" w:eastAsia="zh-CN"/>
              </w:rPr>
            </w:pPr>
            <w:r>
              <w:rPr>
                <w:rFonts w:hint="eastAsia" w:ascii="仿宋_GB2312" w:hAnsi="仿宋_GB2312" w:eastAsia="仿宋_GB2312" w:cs="仿宋_GB2312"/>
                <w:sz w:val="24"/>
                <w:szCs w:val="24"/>
                <w:highlight w:val="none"/>
                <w:lang w:val="en-US" w:eastAsia="zh-CN"/>
              </w:rPr>
              <w:t>市发改委、市数据局</w:t>
            </w:r>
          </w:p>
        </w:tc>
      </w:tr>
      <w:tr w14:paraId="5E167C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3" w:type="pct"/>
            <w:vMerge w:val="continue"/>
            <w:vAlign w:val="center"/>
          </w:tcPr>
          <w:p w14:paraId="76B49AA2">
            <w:pPr>
              <w:spacing w:line="254" w:lineRule="exact"/>
              <w:jc w:val="center"/>
              <w:rPr>
                <w:rFonts w:ascii="仿宋_GB2312" w:hAnsi="仿宋_GB2312" w:eastAsia="仿宋_GB2312" w:cs="仿宋_GB2312"/>
                <w:sz w:val="24"/>
                <w:szCs w:val="24"/>
                <w:highlight w:val="none"/>
              </w:rPr>
            </w:pPr>
          </w:p>
        </w:tc>
        <w:tc>
          <w:tcPr>
            <w:tcW w:w="259" w:type="pct"/>
            <w:vMerge w:val="continue"/>
            <w:vAlign w:val="center"/>
          </w:tcPr>
          <w:p w14:paraId="1DBEA994">
            <w:pPr>
              <w:spacing w:line="254" w:lineRule="exact"/>
              <w:jc w:val="center"/>
              <w:rPr>
                <w:rFonts w:ascii="仿宋_GB2312" w:hAnsi="仿宋_GB2312" w:eastAsia="仿宋_GB2312" w:cs="仿宋_GB2312"/>
                <w:sz w:val="24"/>
                <w:szCs w:val="24"/>
                <w:highlight w:val="none"/>
              </w:rPr>
            </w:pPr>
          </w:p>
        </w:tc>
        <w:tc>
          <w:tcPr>
            <w:tcW w:w="2355" w:type="pct"/>
            <w:vAlign w:val="center"/>
          </w:tcPr>
          <w:p w14:paraId="4EC5F2E6">
            <w:pPr>
              <w:spacing w:line="254" w:lineRule="exact"/>
              <w:jc w:val="left"/>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完善城市AI综合服务平台，推进鄂东城市综合智能体、鄂东工业智能体项目建设，开发城市智能体应用。建立全域物联感知平台，实现数据实时汇聚与智能分析，开发城市管理巡查、灾害预警等应用场景</w:t>
            </w:r>
            <w:r>
              <w:rPr>
                <w:rFonts w:hint="eastAsia" w:ascii="仿宋_GB2312" w:hAnsi="仿宋_GB2312" w:eastAsia="仿宋_GB2312" w:cs="仿宋_GB2312"/>
                <w:sz w:val="24"/>
                <w:szCs w:val="24"/>
                <w:highlight w:val="none"/>
                <w:lang w:eastAsia="zh-CN"/>
              </w:rPr>
              <w:t>，</w:t>
            </w:r>
            <w:r>
              <w:rPr>
                <w:rFonts w:hint="eastAsia" w:ascii="仿宋_GB2312" w:hAnsi="仿宋_GB2312" w:eastAsia="仿宋_GB2312" w:cs="仿宋_GB2312"/>
                <w:sz w:val="24"/>
                <w:szCs w:val="24"/>
                <w:highlight w:val="none"/>
                <w:lang w:val="en-US" w:eastAsia="zh-CN"/>
              </w:rPr>
              <w:t>全市人工智能示范应用场景达到100个以上。</w:t>
            </w:r>
          </w:p>
        </w:tc>
        <w:tc>
          <w:tcPr>
            <w:tcW w:w="627" w:type="pct"/>
            <w:vAlign w:val="center"/>
          </w:tcPr>
          <w:p w14:paraId="2E6E6788">
            <w:pPr>
              <w:spacing w:line="254" w:lineRule="exact"/>
              <w:jc w:val="center"/>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lang w:val="en-US" w:eastAsia="zh-CN"/>
              </w:rPr>
              <w:t>2027年</w:t>
            </w:r>
          </w:p>
        </w:tc>
        <w:tc>
          <w:tcPr>
            <w:tcW w:w="680" w:type="pct"/>
            <w:vAlign w:val="center"/>
          </w:tcPr>
          <w:p w14:paraId="40AA3623">
            <w:pPr>
              <w:spacing w:line="254" w:lineRule="exact"/>
              <w:jc w:val="center"/>
              <w:rPr>
                <w:rFonts w:hint="default" w:ascii="仿宋_GB2312" w:hAnsi="仿宋_GB2312" w:eastAsia="仿宋_GB2312" w:cs="仿宋_GB2312"/>
                <w:sz w:val="24"/>
                <w:szCs w:val="24"/>
                <w:highlight w:val="none"/>
                <w:lang w:val="en-US" w:eastAsia="zh-CN"/>
              </w:rPr>
            </w:pPr>
            <w:r>
              <w:rPr>
                <w:rFonts w:hint="eastAsia" w:ascii="仿宋_GB2312" w:hAnsi="仿宋_GB2312" w:eastAsia="仿宋_GB2312" w:cs="仿宋_GB2312"/>
                <w:sz w:val="24"/>
                <w:szCs w:val="24"/>
                <w:highlight w:val="none"/>
                <w:lang w:val="en-US" w:eastAsia="zh-CN"/>
              </w:rPr>
              <w:t>市数据局</w:t>
            </w:r>
          </w:p>
        </w:tc>
        <w:tc>
          <w:tcPr>
            <w:tcW w:w="923" w:type="pct"/>
            <w:vAlign w:val="center"/>
          </w:tcPr>
          <w:p w14:paraId="5B24610A">
            <w:pPr>
              <w:spacing w:line="254" w:lineRule="exact"/>
              <w:jc w:val="center"/>
              <w:rPr>
                <w:rFonts w:hint="eastAsia" w:ascii="仿宋_GB2312" w:hAnsi="仿宋_GB2312" w:eastAsia="仿宋_GB2312" w:cs="仿宋_GB2312"/>
                <w:sz w:val="24"/>
                <w:szCs w:val="24"/>
                <w:highlight w:val="none"/>
                <w:lang w:val="en-US" w:eastAsia="zh-CN"/>
              </w:rPr>
            </w:pPr>
            <w:r>
              <w:rPr>
                <w:rFonts w:hint="eastAsia" w:ascii="仿宋_GB2312" w:hAnsi="仿宋_GB2312" w:eastAsia="仿宋_GB2312" w:cs="仿宋_GB2312"/>
                <w:sz w:val="24"/>
                <w:szCs w:val="24"/>
                <w:highlight w:val="none"/>
                <w:lang w:val="en-US" w:eastAsia="zh-CN"/>
              </w:rPr>
              <w:t>市发改委、市经信局、市国投集团</w:t>
            </w:r>
          </w:p>
        </w:tc>
      </w:tr>
      <w:tr w14:paraId="1844C4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3" w:type="pct"/>
            <w:vMerge w:val="continue"/>
            <w:vAlign w:val="center"/>
          </w:tcPr>
          <w:p w14:paraId="0A9AADC1">
            <w:pPr>
              <w:spacing w:line="254" w:lineRule="exact"/>
              <w:jc w:val="center"/>
              <w:rPr>
                <w:rFonts w:ascii="仿宋_GB2312" w:hAnsi="仿宋_GB2312" w:eastAsia="仿宋_GB2312" w:cs="仿宋_GB2312"/>
                <w:sz w:val="24"/>
                <w:szCs w:val="24"/>
                <w:highlight w:val="none"/>
              </w:rPr>
            </w:pPr>
          </w:p>
        </w:tc>
        <w:tc>
          <w:tcPr>
            <w:tcW w:w="259" w:type="pct"/>
            <w:vMerge w:val="restart"/>
            <w:vAlign w:val="center"/>
          </w:tcPr>
          <w:p w14:paraId="2E920DED">
            <w:pPr>
              <w:spacing w:line="254" w:lineRule="exact"/>
              <w:jc w:val="center"/>
              <w:rPr>
                <w:rFonts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lang w:val="en-US" w:eastAsia="zh-CN"/>
              </w:rPr>
              <w:t>17.</w:t>
            </w:r>
            <w:r>
              <w:rPr>
                <w:rFonts w:hint="eastAsia" w:ascii="仿宋_GB2312" w:hAnsi="仿宋_GB2312" w:eastAsia="仿宋_GB2312" w:cs="仿宋_GB2312"/>
                <w:sz w:val="24"/>
                <w:szCs w:val="24"/>
                <w:highlight w:val="none"/>
              </w:rPr>
              <w:t>推进生态环境监管数智化转型</w:t>
            </w:r>
          </w:p>
        </w:tc>
        <w:tc>
          <w:tcPr>
            <w:tcW w:w="2355" w:type="pct"/>
            <w:vAlign w:val="center"/>
          </w:tcPr>
          <w:p w14:paraId="1688C88F">
            <w:pPr>
              <w:spacing w:line="254" w:lineRule="exact"/>
              <w:jc w:val="left"/>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深化智慧黄石（一期）智慧环保系统建设，利用AI技术推进卫星遥感、移动监测车、无人机等数据融合，开展中心城区空气微站建设，推进水质在线监测和数据智能分析。</w:t>
            </w:r>
          </w:p>
        </w:tc>
        <w:tc>
          <w:tcPr>
            <w:tcW w:w="627" w:type="pct"/>
            <w:vAlign w:val="center"/>
          </w:tcPr>
          <w:p w14:paraId="3FD68207">
            <w:pPr>
              <w:spacing w:line="254" w:lineRule="exact"/>
              <w:jc w:val="center"/>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lang w:val="en-US" w:eastAsia="zh-CN"/>
              </w:rPr>
              <w:t>持续开展</w:t>
            </w:r>
          </w:p>
        </w:tc>
        <w:tc>
          <w:tcPr>
            <w:tcW w:w="680" w:type="pct"/>
            <w:vAlign w:val="center"/>
          </w:tcPr>
          <w:p w14:paraId="76680FA5">
            <w:pPr>
              <w:spacing w:line="254" w:lineRule="exact"/>
              <w:jc w:val="center"/>
              <w:rPr>
                <w:rFonts w:hint="eastAsia" w:ascii="仿宋_GB2312" w:hAnsi="仿宋_GB2312" w:eastAsia="仿宋_GB2312" w:cs="仿宋_GB2312"/>
                <w:sz w:val="24"/>
                <w:szCs w:val="24"/>
                <w:highlight w:val="none"/>
                <w:lang w:val="en-US" w:eastAsia="zh-CN"/>
              </w:rPr>
            </w:pPr>
            <w:r>
              <w:rPr>
                <w:rFonts w:hint="eastAsia" w:ascii="仿宋_GB2312" w:hAnsi="仿宋_GB2312" w:eastAsia="仿宋_GB2312" w:cs="仿宋_GB2312"/>
                <w:sz w:val="24"/>
                <w:szCs w:val="24"/>
                <w:highlight w:val="none"/>
                <w:lang w:val="en-US" w:eastAsia="zh-CN"/>
              </w:rPr>
              <w:t>市生态环境局</w:t>
            </w:r>
          </w:p>
        </w:tc>
        <w:tc>
          <w:tcPr>
            <w:tcW w:w="923" w:type="pct"/>
            <w:vAlign w:val="center"/>
          </w:tcPr>
          <w:p w14:paraId="7D1A8B4E">
            <w:pPr>
              <w:spacing w:line="254" w:lineRule="exact"/>
              <w:jc w:val="center"/>
              <w:rPr>
                <w:rFonts w:hint="eastAsia" w:ascii="仿宋_GB2312" w:hAnsi="仿宋_GB2312" w:eastAsia="仿宋_GB2312" w:cs="仿宋_GB2312"/>
                <w:sz w:val="24"/>
                <w:szCs w:val="24"/>
                <w:highlight w:val="none"/>
                <w:lang w:val="en-US" w:eastAsia="zh-CN"/>
              </w:rPr>
            </w:pPr>
          </w:p>
        </w:tc>
      </w:tr>
      <w:tr w14:paraId="45963A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2" w:hRule="atLeast"/>
          <w:jc w:val="center"/>
        </w:trPr>
        <w:tc>
          <w:tcPr>
            <w:tcW w:w="153" w:type="pct"/>
            <w:vMerge w:val="continue"/>
            <w:vAlign w:val="center"/>
          </w:tcPr>
          <w:p w14:paraId="6E980D6A">
            <w:pPr>
              <w:spacing w:line="254" w:lineRule="exact"/>
              <w:jc w:val="center"/>
              <w:rPr>
                <w:rFonts w:ascii="仿宋_GB2312" w:hAnsi="仿宋_GB2312" w:eastAsia="仿宋_GB2312" w:cs="仿宋_GB2312"/>
                <w:sz w:val="24"/>
                <w:szCs w:val="24"/>
                <w:highlight w:val="none"/>
              </w:rPr>
            </w:pPr>
          </w:p>
        </w:tc>
        <w:tc>
          <w:tcPr>
            <w:tcW w:w="259" w:type="pct"/>
            <w:vMerge w:val="continue"/>
            <w:vAlign w:val="center"/>
          </w:tcPr>
          <w:p w14:paraId="72F63D1F">
            <w:pPr>
              <w:spacing w:line="254" w:lineRule="exact"/>
              <w:jc w:val="center"/>
              <w:rPr>
                <w:rFonts w:ascii="仿宋_GB2312" w:hAnsi="仿宋_GB2312" w:eastAsia="仿宋_GB2312" w:cs="仿宋_GB2312"/>
                <w:sz w:val="24"/>
                <w:szCs w:val="24"/>
                <w:highlight w:val="none"/>
              </w:rPr>
            </w:pPr>
          </w:p>
        </w:tc>
        <w:tc>
          <w:tcPr>
            <w:tcW w:w="2355" w:type="pct"/>
            <w:vAlign w:val="center"/>
          </w:tcPr>
          <w:p w14:paraId="27749663">
            <w:pPr>
              <w:spacing w:line="254" w:lineRule="exact"/>
              <w:jc w:val="left"/>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加快推进“AI案卷智能评查项目”，完成系统部署</w:t>
            </w:r>
            <w:r>
              <w:rPr>
                <w:rFonts w:hint="eastAsia" w:ascii="仿宋_GB2312" w:hAnsi="仿宋_GB2312" w:eastAsia="仿宋_GB2312" w:cs="仿宋_GB2312"/>
                <w:sz w:val="24"/>
                <w:szCs w:val="24"/>
                <w:highlight w:val="none"/>
                <w:lang w:eastAsia="zh-CN"/>
              </w:rPr>
              <w:t>。</w:t>
            </w:r>
            <w:r>
              <w:rPr>
                <w:rFonts w:hint="eastAsia" w:ascii="仿宋_GB2312" w:hAnsi="仿宋_GB2312" w:eastAsia="仿宋_GB2312" w:cs="仿宋_GB2312"/>
                <w:sz w:val="24"/>
                <w:szCs w:val="24"/>
                <w:highlight w:val="none"/>
              </w:rPr>
              <w:t>开发面向公众的AI环境质量智能查询服务应用。</w:t>
            </w:r>
          </w:p>
        </w:tc>
        <w:tc>
          <w:tcPr>
            <w:tcW w:w="627" w:type="pct"/>
            <w:vAlign w:val="center"/>
          </w:tcPr>
          <w:p w14:paraId="36FA6BCC">
            <w:pPr>
              <w:spacing w:line="254" w:lineRule="exact"/>
              <w:jc w:val="center"/>
              <w:rPr>
                <w:rFonts w:hint="default" w:ascii="仿宋_GB2312" w:hAnsi="仿宋_GB2312" w:eastAsia="仿宋_GB2312" w:cs="仿宋_GB2312"/>
                <w:sz w:val="24"/>
                <w:szCs w:val="24"/>
                <w:highlight w:val="none"/>
                <w:lang w:val="en-US" w:eastAsia="zh-CN"/>
              </w:rPr>
            </w:pPr>
            <w:r>
              <w:rPr>
                <w:rFonts w:hint="eastAsia" w:ascii="仿宋_GB2312" w:hAnsi="仿宋_GB2312" w:eastAsia="仿宋_GB2312" w:cs="仿宋_GB2312"/>
                <w:sz w:val="24"/>
                <w:szCs w:val="24"/>
                <w:highlight w:val="none"/>
                <w:lang w:val="en-US" w:eastAsia="zh-CN"/>
              </w:rPr>
              <w:t>2027年</w:t>
            </w:r>
          </w:p>
        </w:tc>
        <w:tc>
          <w:tcPr>
            <w:tcW w:w="680" w:type="pct"/>
            <w:vAlign w:val="center"/>
          </w:tcPr>
          <w:p w14:paraId="532D3CED">
            <w:pPr>
              <w:spacing w:line="254" w:lineRule="exact"/>
              <w:jc w:val="center"/>
              <w:rPr>
                <w:rFonts w:hint="default" w:ascii="仿宋_GB2312" w:hAnsi="仿宋_GB2312" w:eastAsia="仿宋_GB2312" w:cs="仿宋_GB2312"/>
                <w:sz w:val="24"/>
                <w:szCs w:val="24"/>
                <w:highlight w:val="none"/>
                <w:lang w:val="en-US" w:eastAsia="zh-CN"/>
              </w:rPr>
            </w:pPr>
            <w:r>
              <w:rPr>
                <w:rFonts w:hint="eastAsia" w:ascii="仿宋_GB2312" w:hAnsi="仿宋_GB2312" w:eastAsia="仿宋_GB2312" w:cs="仿宋_GB2312"/>
                <w:sz w:val="24"/>
                <w:szCs w:val="24"/>
                <w:highlight w:val="none"/>
                <w:lang w:val="en-US" w:eastAsia="zh-CN"/>
              </w:rPr>
              <w:t>市生态环境局</w:t>
            </w:r>
          </w:p>
        </w:tc>
        <w:tc>
          <w:tcPr>
            <w:tcW w:w="923" w:type="pct"/>
            <w:vAlign w:val="center"/>
          </w:tcPr>
          <w:p w14:paraId="0CBDF304">
            <w:pPr>
              <w:spacing w:line="254" w:lineRule="exact"/>
              <w:jc w:val="center"/>
              <w:rPr>
                <w:rFonts w:hint="eastAsia" w:ascii="仿宋_GB2312" w:hAnsi="仿宋_GB2312" w:eastAsia="仿宋_GB2312" w:cs="仿宋_GB2312"/>
                <w:sz w:val="24"/>
                <w:szCs w:val="24"/>
                <w:highlight w:val="none"/>
                <w:lang w:val="en-US" w:eastAsia="zh-CN"/>
              </w:rPr>
            </w:pPr>
            <w:r>
              <w:rPr>
                <w:rFonts w:hint="eastAsia" w:ascii="仿宋_GB2312" w:hAnsi="仿宋_GB2312" w:eastAsia="仿宋_GB2312" w:cs="仿宋_GB2312"/>
                <w:sz w:val="24"/>
                <w:szCs w:val="24"/>
                <w:highlight w:val="none"/>
                <w:lang w:val="en-US" w:eastAsia="zh-CN"/>
              </w:rPr>
              <w:t>市数据局</w:t>
            </w:r>
          </w:p>
        </w:tc>
      </w:tr>
      <w:tr w14:paraId="2B5D22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3" w:hRule="atLeast"/>
          <w:jc w:val="center"/>
        </w:trPr>
        <w:tc>
          <w:tcPr>
            <w:tcW w:w="153" w:type="pct"/>
            <w:vMerge w:val="continue"/>
            <w:vAlign w:val="center"/>
          </w:tcPr>
          <w:p w14:paraId="4A41E6A5">
            <w:pPr>
              <w:spacing w:line="254" w:lineRule="exact"/>
              <w:jc w:val="center"/>
              <w:rPr>
                <w:rFonts w:ascii="仿宋_GB2312" w:hAnsi="仿宋_GB2312" w:eastAsia="仿宋_GB2312" w:cs="仿宋_GB2312"/>
                <w:sz w:val="24"/>
                <w:szCs w:val="24"/>
                <w:highlight w:val="none"/>
              </w:rPr>
            </w:pPr>
          </w:p>
        </w:tc>
        <w:tc>
          <w:tcPr>
            <w:tcW w:w="259" w:type="pct"/>
            <w:vMerge w:val="continue"/>
            <w:vAlign w:val="center"/>
          </w:tcPr>
          <w:p w14:paraId="059C1074">
            <w:pPr>
              <w:spacing w:line="254" w:lineRule="exact"/>
              <w:jc w:val="center"/>
              <w:rPr>
                <w:rFonts w:ascii="仿宋_GB2312" w:hAnsi="仿宋_GB2312" w:eastAsia="仿宋_GB2312" w:cs="仿宋_GB2312"/>
                <w:sz w:val="24"/>
                <w:szCs w:val="24"/>
                <w:highlight w:val="none"/>
              </w:rPr>
            </w:pPr>
          </w:p>
        </w:tc>
        <w:tc>
          <w:tcPr>
            <w:tcW w:w="2355" w:type="pct"/>
            <w:vAlign w:val="center"/>
          </w:tcPr>
          <w:p w14:paraId="372C18C7">
            <w:pPr>
              <w:spacing w:line="254" w:lineRule="exact"/>
              <w:jc w:val="left"/>
              <w:rPr>
                <w:rFonts w:hint="eastAsia" w:ascii="仿宋_GB2312" w:hAnsi="仿宋_GB2312" w:eastAsia="仿宋_GB2312" w:cs="仿宋_GB2312"/>
                <w:sz w:val="24"/>
                <w:szCs w:val="24"/>
                <w:highlight w:val="none"/>
                <w:lang w:eastAsia="zh-CN"/>
              </w:rPr>
            </w:pPr>
            <w:r>
              <w:rPr>
                <w:rFonts w:hint="eastAsia" w:ascii="仿宋_GB2312" w:hAnsi="仿宋_GB2312" w:eastAsia="仿宋_GB2312" w:cs="仿宋_GB2312"/>
                <w:sz w:val="24"/>
                <w:szCs w:val="24"/>
                <w:highlight w:val="none"/>
              </w:rPr>
              <w:t>深化无人机在环境监测监管方面</w:t>
            </w:r>
            <w:r>
              <w:rPr>
                <w:rFonts w:hint="eastAsia" w:ascii="仿宋_GB2312" w:hAnsi="仿宋_GB2312" w:eastAsia="仿宋_GB2312" w:cs="仿宋_GB2312"/>
                <w:sz w:val="24"/>
                <w:szCs w:val="24"/>
                <w:highlight w:val="none"/>
                <w:lang w:val="en-US" w:eastAsia="zh-CN"/>
              </w:rPr>
              <w:t>的</w:t>
            </w:r>
            <w:r>
              <w:rPr>
                <w:rFonts w:hint="eastAsia" w:ascii="仿宋_GB2312" w:hAnsi="仿宋_GB2312" w:eastAsia="仿宋_GB2312" w:cs="仿宋_GB2312"/>
                <w:sz w:val="24"/>
                <w:szCs w:val="24"/>
                <w:highlight w:val="none"/>
              </w:rPr>
              <w:t>应用，加强企业治污设施用电异常、排污数据超标等场景自动预警监管</w:t>
            </w:r>
            <w:r>
              <w:rPr>
                <w:rFonts w:hint="eastAsia" w:ascii="仿宋_GB2312" w:hAnsi="仿宋_GB2312" w:eastAsia="仿宋_GB2312" w:cs="仿宋_GB2312"/>
                <w:sz w:val="24"/>
                <w:szCs w:val="24"/>
                <w:highlight w:val="none"/>
                <w:lang w:eastAsia="zh-CN"/>
              </w:rPr>
              <w:t>。</w:t>
            </w:r>
          </w:p>
        </w:tc>
        <w:tc>
          <w:tcPr>
            <w:tcW w:w="627" w:type="pct"/>
            <w:vAlign w:val="center"/>
          </w:tcPr>
          <w:p w14:paraId="452184E1">
            <w:pPr>
              <w:spacing w:line="254" w:lineRule="exact"/>
              <w:jc w:val="center"/>
              <w:rPr>
                <w:rFonts w:hint="default" w:ascii="仿宋_GB2312" w:hAnsi="仿宋_GB2312" w:eastAsia="仿宋_GB2312" w:cs="仿宋_GB2312"/>
                <w:sz w:val="24"/>
                <w:szCs w:val="24"/>
                <w:highlight w:val="none"/>
                <w:lang w:val="en-US" w:eastAsia="zh-CN"/>
              </w:rPr>
            </w:pPr>
            <w:r>
              <w:rPr>
                <w:rFonts w:hint="eastAsia" w:ascii="仿宋_GB2312" w:hAnsi="仿宋_GB2312" w:eastAsia="仿宋_GB2312" w:cs="仿宋_GB2312"/>
                <w:sz w:val="24"/>
                <w:szCs w:val="24"/>
                <w:highlight w:val="none"/>
                <w:lang w:val="en-US" w:eastAsia="zh-CN"/>
              </w:rPr>
              <w:t>持续开展</w:t>
            </w:r>
          </w:p>
        </w:tc>
        <w:tc>
          <w:tcPr>
            <w:tcW w:w="680" w:type="pct"/>
            <w:vAlign w:val="center"/>
          </w:tcPr>
          <w:p w14:paraId="13D45255">
            <w:pPr>
              <w:spacing w:line="254" w:lineRule="exact"/>
              <w:jc w:val="center"/>
              <w:rPr>
                <w:rFonts w:hint="eastAsia" w:ascii="仿宋_GB2312" w:hAnsi="仿宋_GB2312" w:eastAsia="仿宋_GB2312" w:cs="仿宋_GB2312"/>
                <w:sz w:val="24"/>
                <w:szCs w:val="24"/>
                <w:highlight w:val="none"/>
                <w:lang w:val="en-US" w:eastAsia="zh-CN"/>
              </w:rPr>
            </w:pPr>
            <w:r>
              <w:rPr>
                <w:rFonts w:hint="eastAsia" w:ascii="仿宋_GB2312" w:hAnsi="仿宋_GB2312" w:eastAsia="仿宋_GB2312" w:cs="仿宋_GB2312"/>
                <w:sz w:val="24"/>
                <w:szCs w:val="24"/>
                <w:highlight w:val="none"/>
                <w:lang w:val="en-US" w:eastAsia="zh-CN"/>
              </w:rPr>
              <w:t>市生态环境局</w:t>
            </w:r>
          </w:p>
        </w:tc>
        <w:tc>
          <w:tcPr>
            <w:tcW w:w="923" w:type="pct"/>
            <w:vAlign w:val="center"/>
          </w:tcPr>
          <w:p w14:paraId="196F43C0">
            <w:pPr>
              <w:spacing w:line="254" w:lineRule="exact"/>
              <w:jc w:val="center"/>
              <w:rPr>
                <w:rFonts w:hint="eastAsia" w:ascii="仿宋_GB2312" w:hAnsi="仿宋_GB2312" w:eastAsia="仿宋_GB2312" w:cs="仿宋_GB2312"/>
                <w:sz w:val="24"/>
                <w:szCs w:val="24"/>
                <w:highlight w:val="none"/>
                <w:lang w:val="en-US" w:eastAsia="zh-CN"/>
              </w:rPr>
            </w:pPr>
          </w:p>
        </w:tc>
      </w:tr>
      <w:tr w14:paraId="74423A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3" w:hRule="atLeast"/>
          <w:jc w:val="center"/>
        </w:trPr>
        <w:tc>
          <w:tcPr>
            <w:tcW w:w="153" w:type="pct"/>
            <w:vMerge w:val="continue"/>
            <w:vAlign w:val="center"/>
          </w:tcPr>
          <w:p w14:paraId="19FA5D8F">
            <w:pPr>
              <w:spacing w:line="254" w:lineRule="exact"/>
              <w:jc w:val="center"/>
              <w:rPr>
                <w:rFonts w:ascii="仿宋_GB2312" w:hAnsi="仿宋_GB2312" w:eastAsia="仿宋_GB2312" w:cs="仿宋_GB2312"/>
                <w:sz w:val="24"/>
                <w:szCs w:val="24"/>
                <w:highlight w:val="none"/>
              </w:rPr>
            </w:pPr>
          </w:p>
        </w:tc>
        <w:tc>
          <w:tcPr>
            <w:tcW w:w="259" w:type="pct"/>
            <w:vMerge w:val="continue"/>
            <w:vAlign w:val="center"/>
          </w:tcPr>
          <w:p w14:paraId="55125A07">
            <w:pPr>
              <w:spacing w:line="254" w:lineRule="exact"/>
              <w:jc w:val="center"/>
              <w:rPr>
                <w:rFonts w:ascii="仿宋_GB2312" w:hAnsi="仿宋_GB2312" w:eastAsia="仿宋_GB2312" w:cs="仿宋_GB2312"/>
                <w:sz w:val="24"/>
                <w:szCs w:val="24"/>
                <w:highlight w:val="none"/>
              </w:rPr>
            </w:pPr>
          </w:p>
        </w:tc>
        <w:tc>
          <w:tcPr>
            <w:tcW w:w="2355" w:type="pct"/>
            <w:vAlign w:val="center"/>
          </w:tcPr>
          <w:p w14:paraId="0A1BD69B">
            <w:pPr>
              <w:spacing w:line="254" w:lineRule="exact"/>
              <w:jc w:val="left"/>
              <w:rPr>
                <w:rFonts w:hint="eastAsia" w:ascii="仿宋_GB2312" w:hAnsi="仿宋_GB2312" w:eastAsia="仿宋_GB2312" w:cs="仿宋_GB2312"/>
                <w:sz w:val="24"/>
                <w:szCs w:val="24"/>
                <w:highlight w:val="none"/>
                <w:lang w:eastAsia="zh-CN"/>
              </w:rPr>
            </w:pPr>
            <w:r>
              <w:rPr>
                <w:rFonts w:hint="eastAsia" w:ascii="仿宋_GB2312" w:hAnsi="仿宋_GB2312" w:eastAsia="仿宋_GB2312" w:cs="仿宋_GB2312"/>
                <w:sz w:val="24"/>
                <w:szCs w:val="24"/>
                <w:highlight w:val="none"/>
              </w:rPr>
              <w:t>持续推进生态环境监测“一张网”建设，加密空气、水等要素监测点位，分层级推进地下水、土壤、噪声等要素点位优化调整，推进新污染物、碳监测等新型监测要素布点</w:t>
            </w:r>
            <w:r>
              <w:rPr>
                <w:rFonts w:hint="eastAsia" w:ascii="仿宋_GB2312" w:hAnsi="仿宋_GB2312" w:eastAsia="仿宋_GB2312" w:cs="仿宋_GB2312"/>
                <w:sz w:val="24"/>
                <w:szCs w:val="24"/>
                <w:highlight w:val="none"/>
                <w:lang w:eastAsia="zh-CN"/>
              </w:rPr>
              <w:t>。</w:t>
            </w:r>
          </w:p>
        </w:tc>
        <w:tc>
          <w:tcPr>
            <w:tcW w:w="627" w:type="pct"/>
            <w:vAlign w:val="center"/>
          </w:tcPr>
          <w:p w14:paraId="74B37750">
            <w:pPr>
              <w:spacing w:line="254" w:lineRule="exact"/>
              <w:jc w:val="center"/>
              <w:rPr>
                <w:rFonts w:hint="eastAsia" w:ascii="仿宋_GB2312" w:hAnsi="仿宋_GB2312" w:eastAsia="仿宋_GB2312" w:cs="仿宋_GB2312"/>
                <w:sz w:val="24"/>
                <w:szCs w:val="24"/>
                <w:highlight w:val="none"/>
                <w:lang w:val="en-US" w:eastAsia="zh-CN"/>
              </w:rPr>
            </w:pPr>
            <w:r>
              <w:rPr>
                <w:rFonts w:hint="eastAsia" w:ascii="仿宋_GB2312" w:hAnsi="仿宋_GB2312" w:eastAsia="仿宋_GB2312" w:cs="仿宋_GB2312"/>
                <w:sz w:val="24"/>
                <w:szCs w:val="24"/>
                <w:highlight w:val="none"/>
                <w:lang w:val="en-US" w:eastAsia="zh-CN"/>
              </w:rPr>
              <w:t>2030年</w:t>
            </w:r>
          </w:p>
        </w:tc>
        <w:tc>
          <w:tcPr>
            <w:tcW w:w="680" w:type="pct"/>
            <w:vAlign w:val="center"/>
          </w:tcPr>
          <w:p w14:paraId="56CFCB91">
            <w:pPr>
              <w:spacing w:line="254" w:lineRule="exact"/>
              <w:jc w:val="center"/>
              <w:rPr>
                <w:rFonts w:hint="eastAsia" w:ascii="仿宋_GB2312" w:hAnsi="仿宋_GB2312" w:eastAsia="仿宋_GB2312" w:cs="仿宋_GB2312"/>
                <w:sz w:val="24"/>
                <w:szCs w:val="24"/>
                <w:highlight w:val="none"/>
                <w:lang w:val="en-US" w:eastAsia="zh-CN"/>
              </w:rPr>
            </w:pPr>
            <w:r>
              <w:rPr>
                <w:rFonts w:hint="eastAsia" w:ascii="仿宋_GB2312" w:hAnsi="仿宋_GB2312" w:eastAsia="仿宋_GB2312" w:cs="仿宋_GB2312"/>
                <w:sz w:val="24"/>
                <w:szCs w:val="24"/>
                <w:highlight w:val="none"/>
                <w:lang w:val="en-US" w:eastAsia="zh-CN"/>
              </w:rPr>
              <w:t>市生态环境局</w:t>
            </w:r>
          </w:p>
        </w:tc>
        <w:tc>
          <w:tcPr>
            <w:tcW w:w="923" w:type="pct"/>
            <w:vAlign w:val="center"/>
          </w:tcPr>
          <w:p w14:paraId="60F01D55">
            <w:pPr>
              <w:spacing w:line="254" w:lineRule="exact"/>
              <w:jc w:val="center"/>
              <w:rPr>
                <w:rFonts w:hint="eastAsia" w:ascii="仿宋_GB2312" w:hAnsi="仿宋_GB2312" w:eastAsia="仿宋_GB2312" w:cs="仿宋_GB2312"/>
                <w:sz w:val="24"/>
                <w:szCs w:val="24"/>
                <w:highlight w:val="none"/>
                <w:lang w:val="en-US" w:eastAsia="zh-CN"/>
              </w:rPr>
            </w:pPr>
          </w:p>
        </w:tc>
      </w:tr>
      <w:tr w14:paraId="5EF97F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3" w:type="pct"/>
            <w:vMerge w:val="continue"/>
            <w:vAlign w:val="center"/>
          </w:tcPr>
          <w:p w14:paraId="3B276B55">
            <w:pPr>
              <w:spacing w:line="254" w:lineRule="exact"/>
              <w:jc w:val="center"/>
              <w:rPr>
                <w:rFonts w:ascii="仿宋_GB2312" w:hAnsi="仿宋_GB2312" w:eastAsia="仿宋_GB2312" w:cs="仿宋_GB2312"/>
                <w:sz w:val="24"/>
                <w:szCs w:val="24"/>
                <w:highlight w:val="none"/>
              </w:rPr>
            </w:pPr>
          </w:p>
        </w:tc>
        <w:tc>
          <w:tcPr>
            <w:tcW w:w="259" w:type="pct"/>
            <w:vMerge w:val="restart"/>
            <w:vAlign w:val="center"/>
          </w:tcPr>
          <w:p w14:paraId="6A9D3691">
            <w:pPr>
              <w:spacing w:line="254" w:lineRule="exact"/>
              <w:jc w:val="center"/>
              <w:rPr>
                <w:rFonts w:ascii="仿宋_GB2312" w:hAnsi="仿宋_GB2312" w:eastAsia="仿宋_GB2312" w:cs="仿宋_GB2312"/>
                <w:kern w:val="2"/>
                <w:sz w:val="24"/>
                <w:szCs w:val="24"/>
                <w:highlight w:val="none"/>
                <w:lang w:val="en-US" w:eastAsia="zh-CN" w:bidi="ar-SA"/>
              </w:rPr>
            </w:pPr>
            <w:r>
              <w:rPr>
                <w:rFonts w:hint="eastAsia" w:ascii="仿宋_GB2312" w:hAnsi="仿宋_GB2312" w:eastAsia="仿宋_GB2312" w:cs="仿宋_GB2312"/>
                <w:sz w:val="24"/>
                <w:szCs w:val="24"/>
                <w:highlight w:val="none"/>
                <w:lang w:val="en-US" w:eastAsia="zh-CN"/>
              </w:rPr>
              <w:t>18.强化科技创新赋能</w:t>
            </w:r>
          </w:p>
        </w:tc>
        <w:tc>
          <w:tcPr>
            <w:tcW w:w="2355" w:type="pct"/>
            <w:vAlign w:val="center"/>
          </w:tcPr>
          <w:p w14:paraId="0D6E11E6">
            <w:pPr>
              <w:spacing w:line="254" w:lineRule="exact"/>
              <w:jc w:val="left"/>
              <w:rPr>
                <w:rFonts w:hint="default" w:ascii="仿宋_GB2312" w:hAnsi="仿宋_GB2312" w:eastAsia="仿宋_GB2312" w:cs="仿宋_GB2312"/>
                <w:sz w:val="24"/>
                <w:szCs w:val="24"/>
                <w:highlight w:val="none"/>
                <w:lang w:val="en-US" w:eastAsia="zh-CN"/>
              </w:rPr>
            </w:pPr>
            <w:r>
              <w:rPr>
                <w:rFonts w:hint="eastAsia" w:ascii="仿宋_GB2312" w:hAnsi="仿宋_GB2312" w:eastAsia="仿宋_GB2312" w:cs="仿宋_GB2312"/>
                <w:sz w:val="24"/>
                <w:szCs w:val="24"/>
                <w:highlight w:val="none"/>
              </w:rPr>
              <w:t>加快筹建黄石实验室、建强用好环境污染矿区控制与修复湖北省重点实验室等相关科创平台。新增省级以上新型研发机构等创新平台6家以上</w:t>
            </w:r>
            <w:r>
              <w:rPr>
                <w:rFonts w:hint="eastAsia" w:ascii="仿宋_GB2312" w:hAnsi="仿宋_GB2312" w:eastAsia="仿宋_GB2312" w:cs="仿宋_GB2312"/>
                <w:sz w:val="24"/>
                <w:szCs w:val="24"/>
                <w:highlight w:val="none"/>
                <w:lang w:val="en-US" w:eastAsia="zh-CN"/>
              </w:rPr>
              <w:t>。</w:t>
            </w:r>
          </w:p>
        </w:tc>
        <w:tc>
          <w:tcPr>
            <w:tcW w:w="627" w:type="pct"/>
            <w:vAlign w:val="center"/>
          </w:tcPr>
          <w:p w14:paraId="0930326A">
            <w:pPr>
              <w:spacing w:line="254" w:lineRule="exact"/>
              <w:jc w:val="center"/>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lang w:val="en-US" w:eastAsia="zh-CN"/>
              </w:rPr>
              <w:t>2027年</w:t>
            </w:r>
          </w:p>
        </w:tc>
        <w:tc>
          <w:tcPr>
            <w:tcW w:w="680" w:type="pct"/>
            <w:vAlign w:val="center"/>
          </w:tcPr>
          <w:p w14:paraId="2E95904E">
            <w:pPr>
              <w:spacing w:line="254" w:lineRule="exact"/>
              <w:jc w:val="center"/>
              <w:rPr>
                <w:rFonts w:hint="default" w:ascii="仿宋_GB2312" w:hAnsi="仿宋_GB2312" w:eastAsia="仿宋_GB2312" w:cs="仿宋_GB2312"/>
                <w:sz w:val="24"/>
                <w:szCs w:val="24"/>
                <w:highlight w:val="none"/>
                <w:lang w:val="en-US" w:eastAsia="zh-CN"/>
              </w:rPr>
            </w:pPr>
            <w:r>
              <w:rPr>
                <w:rFonts w:hint="eastAsia" w:ascii="仿宋_GB2312" w:hAnsi="仿宋_GB2312" w:eastAsia="仿宋_GB2312" w:cs="仿宋_GB2312"/>
                <w:sz w:val="24"/>
                <w:szCs w:val="24"/>
                <w:highlight w:val="none"/>
                <w:lang w:val="en-US" w:eastAsia="zh-CN"/>
              </w:rPr>
              <w:t>市科技局</w:t>
            </w:r>
          </w:p>
        </w:tc>
        <w:tc>
          <w:tcPr>
            <w:tcW w:w="923" w:type="pct"/>
            <w:vAlign w:val="center"/>
          </w:tcPr>
          <w:p w14:paraId="3386E94C">
            <w:pPr>
              <w:spacing w:line="254" w:lineRule="exact"/>
              <w:jc w:val="center"/>
              <w:rPr>
                <w:rFonts w:hint="default" w:ascii="仿宋_GB2312" w:hAnsi="仿宋_GB2312" w:eastAsia="仿宋_GB2312" w:cs="仿宋_GB2312"/>
                <w:sz w:val="24"/>
                <w:szCs w:val="24"/>
                <w:highlight w:val="none"/>
                <w:lang w:val="en-US" w:eastAsia="zh-CN"/>
              </w:rPr>
            </w:pPr>
            <w:r>
              <w:rPr>
                <w:rFonts w:hint="eastAsia" w:ascii="仿宋_GB2312" w:hAnsi="仿宋_GB2312" w:eastAsia="仿宋_GB2312" w:cs="仿宋_GB2312"/>
                <w:sz w:val="24"/>
                <w:szCs w:val="24"/>
                <w:highlight w:val="none"/>
                <w:lang w:val="en-US" w:eastAsia="zh-CN"/>
              </w:rPr>
              <w:t>市发改委、市创新发展中心</w:t>
            </w:r>
          </w:p>
        </w:tc>
      </w:tr>
      <w:tr w14:paraId="7A277E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3" w:type="pct"/>
            <w:vMerge w:val="continue"/>
            <w:vAlign w:val="center"/>
          </w:tcPr>
          <w:p w14:paraId="425DA4F1">
            <w:pPr>
              <w:spacing w:line="254" w:lineRule="exact"/>
              <w:jc w:val="center"/>
              <w:rPr>
                <w:rFonts w:ascii="仿宋_GB2312" w:hAnsi="仿宋_GB2312" w:eastAsia="仿宋_GB2312" w:cs="仿宋_GB2312"/>
                <w:sz w:val="24"/>
                <w:szCs w:val="24"/>
                <w:highlight w:val="none"/>
              </w:rPr>
            </w:pPr>
          </w:p>
        </w:tc>
        <w:tc>
          <w:tcPr>
            <w:tcW w:w="259" w:type="pct"/>
            <w:vMerge w:val="continue"/>
            <w:vAlign w:val="center"/>
          </w:tcPr>
          <w:p w14:paraId="4F0D5D16">
            <w:pPr>
              <w:spacing w:line="254" w:lineRule="exact"/>
              <w:jc w:val="center"/>
              <w:rPr>
                <w:rFonts w:ascii="仿宋_GB2312" w:hAnsi="仿宋_GB2312" w:eastAsia="仿宋_GB2312" w:cs="仿宋_GB2312"/>
                <w:sz w:val="24"/>
                <w:szCs w:val="24"/>
                <w:highlight w:val="none"/>
              </w:rPr>
            </w:pPr>
          </w:p>
        </w:tc>
        <w:tc>
          <w:tcPr>
            <w:tcW w:w="2355" w:type="pct"/>
            <w:vAlign w:val="center"/>
          </w:tcPr>
          <w:p w14:paraId="471BDB67">
            <w:pPr>
              <w:spacing w:line="254" w:lineRule="exact"/>
              <w:jc w:val="left"/>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推动湖北理工学院、高品质特殊钢全国重点实验室等高等院校、国家级科研平台的产学研深度合作，重点开展减污降碳协同、跨介质多污染物协同治理等关键技术研究。</w:t>
            </w:r>
          </w:p>
        </w:tc>
        <w:tc>
          <w:tcPr>
            <w:tcW w:w="627" w:type="pct"/>
            <w:vAlign w:val="center"/>
          </w:tcPr>
          <w:p w14:paraId="550F0250">
            <w:pPr>
              <w:spacing w:line="254" w:lineRule="exact"/>
              <w:jc w:val="center"/>
              <w:rPr>
                <w:rFonts w:hint="eastAsia" w:ascii="仿宋_GB2312" w:hAnsi="仿宋_GB2312" w:eastAsia="仿宋_GB2312" w:cs="仿宋_GB2312"/>
                <w:sz w:val="24"/>
                <w:szCs w:val="24"/>
                <w:highlight w:val="none"/>
                <w:lang w:val="en-US" w:eastAsia="zh-CN"/>
              </w:rPr>
            </w:pPr>
            <w:r>
              <w:rPr>
                <w:rFonts w:hint="eastAsia" w:ascii="仿宋_GB2312" w:hAnsi="仿宋_GB2312" w:eastAsia="仿宋_GB2312" w:cs="仿宋_GB2312"/>
                <w:sz w:val="24"/>
                <w:szCs w:val="24"/>
                <w:highlight w:val="none"/>
                <w:lang w:val="en-US" w:eastAsia="zh-CN"/>
              </w:rPr>
              <w:t>持续开展</w:t>
            </w:r>
          </w:p>
        </w:tc>
        <w:tc>
          <w:tcPr>
            <w:tcW w:w="680" w:type="pct"/>
            <w:vAlign w:val="center"/>
          </w:tcPr>
          <w:p w14:paraId="7A147885">
            <w:pPr>
              <w:spacing w:line="254" w:lineRule="exact"/>
              <w:jc w:val="center"/>
              <w:rPr>
                <w:rFonts w:hint="eastAsia" w:ascii="仿宋_GB2312" w:hAnsi="仿宋_GB2312" w:eastAsia="仿宋_GB2312" w:cs="仿宋_GB2312"/>
                <w:kern w:val="2"/>
                <w:sz w:val="24"/>
                <w:szCs w:val="24"/>
                <w:highlight w:val="none"/>
                <w:lang w:val="en-US" w:eastAsia="zh-CN" w:bidi="ar-SA"/>
              </w:rPr>
            </w:pPr>
            <w:r>
              <w:rPr>
                <w:rFonts w:hint="eastAsia" w:ascii="仿宋_GB2312" w:hAnsi="仿宋_GB2312" w:eastAsia="仿宋_GB2312" w:cs="仿宋_GB2312"/>
                <w:sz w:val="24"/>
                <w:szCs w:val="24"/>
                <w:highlight w:val="none"/>
                <w:lang w:val="en-US" w:eastAsia="zh-CN"/>
              </w:rPr>
              <w:t>市科技局、市生态环境局</w:t>
            </w:r>
          </w:p>
        </w:tc>
        <w:tc>
          <w:tcPr>
            <w:tcW w:w="923" w:type="pct"/>
            <w:vAlign w:val="center"/>
          </w:tcPr>
          <w:p w14:paraId="03AC6FC8">
            <w:pPr>
              <w:spacing w:line="254" w:lineRule="exact"/>
              <w:jc w:val="center"/>
              <w:rPr>
                <w:rFonts w:hint="default" w:ascii="仿宋_GB2312" w:hAnsi="仿宋_GB2312" w:eastAsia="仿宋_GB2312" w:cs="仿宋_GB2312"/>
                <w:kern w:val="2"/>
                <w:sz w:val="24"/>
                <w:szCs w:val="24"/>
                <w:highlight w:val="none"/>
                <w:lang w:val="en-US" w:eastAsia="zh-CN" w:bidi="ar-SA"/>
              </w:rPr>
            </w:pPr>
            <w:r>
              <w:rPr>
                <w:rFonts w:hint="eastAsia" w:ascii="仿宋_GB2312" w:hAnsi="仿宋_GB2312" w:eastAsia="仿宋_GB2312" w:cs="仿宋_GB2312"/>
                <w:sz w:val="24"/>
                <w:szCs w:val="24"/>
                <w:highlight w:val="none"/>
                <w:lang w:val="en-US" w:eastAsia="zh-CN"/>
              </w:rPr>
              <w:t>市发改委、市经信局、市教育局</w:t>
            </w:r>
          </w:p>
        </w:tc>
      </w:tr>
      <w:tr w14:paraId="3001AA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3" w:type="pct"/>
            <w:vMerge w:val="continue"/>
            <w:vAlign w:val="center"/>
          </w:tcPr>
          <w:p w14:paraId="32802234">
            <w:pPr>
              <w:spacing w:line="254" w:lineRule="exact"/>
              <w:jc w:val="center"/>
              <w:rPr>
                <w:rFonts w:ascii="仿宋_GB2312" w:hAnsi="仿宋_GB2312" w:eastAsia="仿宋_GB2312" w:cs="仿宋_GB2312"/>
                <w:sz w:val="24"/>
                <w:szCs w:val="24"/>
                <w:highlight w:val="none"/>
              </w:rPr>
            </w:pPr>
          </w:p>
        </w:tc>
        <w:tc>
          <w:tcPr>
            <w:tcW w:w="259" w:type="pct"/>
            <w:vMerge w:val="continue"/>
            <w:vAlign w:val="center"/>
          </w:tcPr>
          <w:p w14:paraId="45981070">
            <w:pPr>
              <w:spacing w:line="254" w:lineRule="exact"/>
              <w:jc w:val="center"/>
              <w:rPr>
                <w:rFonts w:ascii="仿宋_GB2312" w:hAnsi="仿宋_GB2312" w:eastAsia="仿宋_GB2312" w:cs="仿宋_GB2312"/>
                <w:sz w:val="24"/>
                <w:szCs w:val="24"/>
                <w:highlight w:val="none"/>
              </w:rPr>
            </w:pPr>
          </w:p>
        </w:tc>
        <w:tc>
          <w:tcPr>
            <w:tcW w:w="2355" w:type="pct"/>
            <w:vAlign w:val="center"/>
          </w:tcPr>
          <w:p w14:paraId="350BDF01">
            <w:pPr>
              <w:spacing w:line="254" w:lineRule="exact"/>
              <w:jc w:val="left"/>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实施科技型企业“两转化”行动，引导和推动具备条件的龙头企业牵头组建创新联合体，引入孵化绿色技术创新项目</w:t>
            </w:r>
            <w:r>
              <w:rPr>
                <w:rFonts w:hint="eastAsia" w:ascii="仿宋_GB2312" w:hAnsi="仿宋_GB2312" w:eastAsia="仿宋_GB2312" w:cs="仿宋_GB2312"/>
                <w:sz w:val="24"/>
                <w:szCs w:val="24"/>
                <w:highlight w:val="none"/>
                <w:lang w:eastAsia="zh-CN"/>
              </w:rPr>
              <w:t>。</w:t>
            </w:r>
            <w:r>
              <w:rPr>
                <w:rFonts w:hint="eastAsia" w:ascii="仿宋_GB2312" w:hAnsi="仿宋_GB2312" w:eastAsia="仿宋_GB2312" w:cs="仿宋_GB2312"/>
                <w:sz w:val="24"/>
                <w:szCs w:val="24"/>
                <w:highlight w:val="none"/>
                <w:lang w:val="en-US" w:eastAsia="zh-CN"/>
              </w:rPr>
              <w:t>组织实施十大技术攻关项目。</w:t>
            </w:r>
          </w:p>
        </w:tc>
        <w:tc>
          <w:tcPr>
            <w:tcW w:w="627" w:type="pct"/>
            <w:vAlign w:val="center"/>
          </w:tcPr>
          <w:p w14:paraId="56CE7370">
            <w:pPr>
              <w:spacing w:line="254" w:lineRule="exact"/>
              <w:jc w:val="center"/>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lang w:val="en-US" w:eastAsia="zh-CN"/>
              </w:rPr>
              <w:t>2026年</w:t>
            </w:r>
          </w:p>
        </w:tc>
        <w:tc>
          <w:tcPr>
            <w:tcW w:w="680" w:type="pct"/>
            <w:vAlign w:val="center"/>
          </w:tcPr>
          <w:p w14:paraId="4F82E291">
            <w:pPr>
              <w:spacing w:line="254" w:lineRule="exact"/>
              <w:jc w:val="center"/>
              <w:rPr>
                <w:rFonts w:hint="eastAsia" w:ascii="仿宋_GB2312" w:hAnsi="仿宋_GB2312" w:eastAsia="仿宋_GB2312" w:cs="仿宋_GB2312"/>
                <w:kern w:val="2"/>
                <w:sz w:val="24"/>
                <w:szCs w:val="24"/>
                <w:highlight w:val="none"/>
                <w:lang w:val="en-US" w:eastAsia="zh-CN" w:bidi="ar-SA"/>
              </w:rPr>
            </w:pPr>
            <w:r>
              <w:rPr>
                <w:rFonts w:hint="eastAsia" w:ascii="仿宋_GB2312" w:hAnsi="仿宋_GB2312" w:eastAsia="仿宋_GB2312" w:cs="仿宋_GB2312"/>
                <w:sz w:val="24"/>
                <w:szCs w:val="24"/>
                <w:highlight w:val="none"/>
                <w:lang w:val="en-US" w:eastAsia="zh-CN"/>
              </w:rPr>
              <w:t>市科技局</w:t>
            </w:r>
          </w:p>
        </w:tc>
        <w:tc>
          <w:tcPr>
            <w:tcW w:w="923" w:type="pct"/>
            <w:vAlign w:val="center"/>
          </w:tcPr>
          <w:p w14:paraId="08A43620">
            <w:pPr>
              <w:spacing w:line="254" w:lineRule="exact"/>
              <w:jc w:val="center"/>
              <w:rPr>
                <w:rFonts w:hint="default" w:ascii="仿宋_GB2312" w:hAnsi="仿宋_GB2312" w:eastAsia="仿宋_GB2312" w:cs="仿宋_GB2312"/>
                <w:sz w:val="24"/>
                <w:szCs w:val="24"/>
                <w:highlight w:val="none"/>
                <w:lang w:val="en-US" w:eastAsia="zh-CN"/>
              </w:rPr>
            </w:pPr>
            <w:r>
              <w:rPr>
                <w:rFonts w:hint="eastAsia" w:ascii="仿宋_GB2312" w:hAnsi="仿宋_GB2312" w:eastAsia="仿宋_GB2312" w:cs="仿宋_GB2312"/>
                <w:sz w:val="24"/>
                <w:szCs w:val="24"/>
                <w:highlight w:val="none"/>
                <w:lang w:val="en-US" w:eastAsia="zh-CN"/>
              </w:rPr>
              <w:t>市发改委、市经信局</w:t>
            </w:r>
          </w:p>
        </w:tc>
      </w:tr>
      <w:tr w14:paraId="671E4E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3" w:type="pct"/>
            <w:vMerge w:val="continue"/>
            <w:vAlign w:val="center"/>
          </w:tcPr>
          <w:p w14:paraId="635EBA6E">
            <w:pPr>
              <w:spacing w:line="254" w:lineRule="exact"/>
              <w:jc w:val="center"/>
              <w:rPr>
                <w:rFonts w:ascii="仿宋_GB2312" w:hAnsi="仿宋_GB2312" w:eastAsia="仿宋_GB2312" w:cs="仿宋_GB2312"/>
                <w:sz w:val="24"/>
                <w:szCs w:val="24"/>
                <w:highlight w:val="none"/>
              </w:rPr>
            </w:pPr>
          </w:p>
        </w:tc>
        <w:tc>
          <w:tcPr>
            <w:tcW w:w="259" w:type="pct"/>
            <w:vMerge w:val="continue"/>
            <w:vAlign w:val="center"/>
          </w:tcPr>
          <w:p w14:paraId="22CAEBB0">
            <w:pPr>
              <w:spacing w:line="254" w:lineRule="exact"/>
              <w:jc w:val="center"/>
              <w:rPr>
                <w:rFonts w:ascii="仿宋_GB2312" w:hAnsi="仿宋_GB2312" w:eastAsia="仿宋_GB2312" w:cs="仿宋_GB2312"/>
                <w:sz w:val="24"/>
                <w:szCs w:val="24"/>
                <w:highlight w:val="none"/>
              </w:rPr>
            </w:pPr>
          </w:p>
        </w:tc>
        <w:tc>
          <w:tcPr>
            <w:tcW w:w="2355" w:type="pct"/>
            <w:vAlign w:val="center"/>
          </w:tcPr>
          <w:p w14:paraId="61D7764F">
            <w:pPr>
              <w:spacing w:line="254" w:lineRule="exact"/>
              <w:jc w:val="left"/>
              <w:rPr>
                <w:rFonts w:hint="default" w:ascii="仿宋_GB2312" w:hAnsi="仿宋_GB2312" w:eastAsia="仿宋_GB2312" w:cs="仿宋_GB2312"/>
                <w:sz w:val="24"/>
                <w:szCs w:val="24"/>
                <w:highlight w:val="none"/>
                <w:lang w:val="en-US" w:eastAsia="zh-CN"/>
              </w:rPr>
            </w:pPr>
            <w:r>
              <w:rPr>
                <w:rFonts w:hint="eastAsia" w:ascii="仿宋_GB2312" w:hAnsi="仿宋_GB2312" w:eastAsia="仿宋_GB2312" w:cs="仿宋_GB2312"/>
                <w:sz w:val="24"/>
                <w:szCs w:val="24"/>
                <w:highlight w:val="none"/>
              </w:rPr>
              <w:t>深入开展“才聚东楚·点石成金”行动，健全柔性引才和校企共享机制，推进黄石工匠、高技能人才引进</w:t>
            </w:r>
            <w:r>
              <w:rPr>
                <w:rFonts w:hint="eastAsia" w:ascii="仿宋_GB2312" w:hAnsi="仿宋_GB2312" w:eastAsia="仿宋_GB2312" w:cs="仿宋_GB2312"/>
                <w:sz w:val="24"/>
                <w:szCs w:val="24"/>
                <w:highlight w:val="none"/>
                <w:lang w:eastAsia="zh-CN"/>
              </w:rPr>
              <w:t>，</w:t>
            </w:r>
            <w:r>
              <w:rPr>
                <w:rFonts w:hint="eastAsia" w:ascii="仿宋_GB2312" w:hAnsi="仿宋_GB2312" w:eastAsia="仿宋_GB2312" w:cs="仿宋_GB2312"/>
                <w:sz w:val="24"/>
                <w:szCs w:val="24"/>
                <w:highlight w:val="none"/>
                <w:lang w:val="en-US" w:eastAsia="zh-CN"/>
              </w:rPr>
              <w:t>累计引进高层次产业人才项目不少于10个，培育市级及以上科技创新团队10个。</w:t>
            </w:r>
          </w:p>
        </w:tc>
        <w:tc>
          <w:tcPr>
            <w:tcW w:w="627" w:type="pct"/>
            <w:vAlign w:val="center"/>
          </w:tcPr>
          <w:p w14:paraId="45C54E3A">
            <w:pPr>
              <w:spacing w:line="254" w:lineRule="exact"/>
              <w:jc w:val="center"/>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lang w:val="en-US" w:eastAsia="zh-CN"/>
              </w:rPr>
              <w:t>2027年</w:t>
            </w:r>
          </w:p>
        </w:tc>
        <w:tc>
          <w:tcPr>
            <w:tcW w:w="680" w:type="pct"/>
            <w:vAlign w:val="center"/>
          </w:tcPr>
          <w:p w14:paraId="6FC16E05">
            <w:pPr>
              <w:spacing w:line="254" w:lineRule="exact"/>
              <w:jc w:val="center"/>
              <w:rPr>
                <w:rFonts w:hint="eastAsia" w:ascii="仿宋_GB2312" w:hAnsi="仿宋_GB2312" w:eastAsia="仿宋_GB2312" w:cs="仿宋_GB2312"/>
                <w:kern w:val="2"/>
                <w:sz w:val="24"/>
                <w:szCs w:val="24"/>
                <w:highlight w:val="none"/>
                <w:lang w:val="en-US" w:eastAsia="zh-CN" w:bidi="ar-SA"/>
              </w:rPr>
            </w:pPr>
            <w:r>
              <w:rPr>
                <w:rFonts w:hint="eastAsia" w:ascii="仿宋_GB2312" w:hAnsi="仿宋_GB2312" w:eastAsia="仿宋_GB2312" w:cs="仿宋_GB2312"/>
                <w:sz w:val="24"/>
                <w:szCs w:val="24"/>
                <w:highlight w:val="none"/>
                <w:lang w:val="en-US" w:eastAsia="zh-CN"/>
              </w:rPr>
              <w:t>市人社局</w:t>
            </w:r>
          </w:p>
        </w:tc>
        <w:tc>
          <w:tcPr>
            <w:tcW w:w="923" w:type="pct"/>
            <w:vAlign w:val="center"/>
          </w:tcPr>
          <w:p w14:paraId="6A76A231">
            <w:pPr>
              <w:spacing w:line="254" w:lineRule="exact"/>
              <w:jc w:val="center"/>
              <w:rPr>
                <w:rFonts w:hint="default" w:ascii="仿宋_GB2312" w:hAnsi="仿宋_GB2312" w:eastAsia="仿宋_GB2312" w:cs="仿宋_GB2312"/>
                <w:sz w:val="24"/>
                <w:szCs w:val="24"/>
                <w:highlight w:val="none"/>
                <w:lang w:val="en-US" w:eastAsia="zh-CN"/>
              </w:rPr>
            </w:pPr>
          </w:p>
        </w:tc>
      </w:tr>
    </w:tbl>
    <w:p w14:paraId="386B790E">
      <w:pPr>
        <w:rPr>
          <w:rFonts w:hint="eastAsia" w:ascii="方正小标宋简体" w:hAnsi="方正小标宋简体" w:eastAsia="方正小标宋简体" w:cs="方正小标宋简体"/>
          <w:sz w:val="40"/>
          <w:szCs w:val="40"/>
          <w:highlight w:val="none"/>
          <w:lang w:val="en-US" w:eastAsia="zh-CN"/>
        </w:rPr>
      </w:pPr>
      <w:r>
        <w:rPr>
          <w:rFonts w:hint="eastAsia" w:ascii="方正小标宋简体" w:hAnsi="方正小标宋简体" w:eastAsia="方正小标宋简体" w:cs="方正小标宋简体"/>
          <w:sz w:val="40"/>
          <w:szCs w:val="40"/>
          <w:highlight w:val="none"/>
          <w:lang w:val="en-US" w:eastAsia="zh-CN"/>
        </w:rPr>
        <w:br w:type="page"/>
      </w:r>
    </w:p>
    <w:p w14:paraId="7B7B2CD9">
      <w:pPr>
        <w:jc w:val="both"/>
        <w:rPr>
          <w:rFonts w:hint="eastAsia" w:ascii="Times New Roman" w:hAnsi="Times New Roman" w:eastAsia="黑体" w:cs="黑体"/>
          <w:b w:val="0"/>
          <w:bCs w:val="0"/>
          <w:sz w:val="32"/>
          <w:szCs w:val="32"/>
          <w:highlight w:val="none"/>
          <w:lang w:val="en-US" w:eastAsia="zh-CN"/>
        </w:rPr>
      </w:pPr>
      <w:r>
        <w:rPr>
          <w:rFonts w:hint="eastAsia" w:ascii="Times New Roman" w:hAnsi="Times New Roman" w:eastAsia="黑体" w:cs="黑体"/>
          <w:b w:val="0"/>
          <w:bCs w:val="0"/>
          <w:sz w:val="32"/>
          <w:szCs w:val="32"/>
          <w:highlight w:val="none"/>
        </w:rPr>
        <w:t>附</w:t>
      </w:r>
      <w:r>
        <w:rPr>
          <w:rFonts w:hint="eastAsia" w:ascii="Times New Roman" w:hAnsi="Times New Roman" w:eastAsia="黑体" w:cs="黑体"/>
          <w:b w:val="0"/>
          <w:bCs w:val="0"/>
          <w:sz w:val="32"/>
          <w:szCs w:val="32"/>
          <w:highlight w:val="none"/>
          <w:lang w:val="en-US" w:eastAsia="zh-CN"/>
        </w:rPr>
        <w:t>4</w:t>
      </w:r>
    </w:p>
    <w:p w14:paraId="3E59B1CF">
      <w:pPr>
        <w:jc w:val="center"/>
        <w:rPr>
          <w:rFonts w:hint="eastAsia" w:ascii="方正小标宋简体" w:hAnsi="方正小标宋简体" w:eastAsia="方正小标宋简体" w:cs="方正小标宋简体"/>
          <w:sz w:val="40"/>
          <w:szCs w:val="40"/>
          <w:highlight w:val="none"/>
          <w:lang w:val="en-US" w:eastAsia="zh-CN"/>
        </w:rPr>
      </w:pPr>
      <w:r>
        <w:rPr>
          <w:rFonts w:hint="eastAsia" w:ascii="方正小标宋简体" w:hAnsi="方正小标宋简体" w:eastAsia="方正小标宋简体" w:cs="方正小标宋简体"/>
          <w:sz w:val="40"/>
          <w:szCs w:val="40"/>
          <w:highlight w:val="none"/>
          <w:lang w:val="en-US" w:eastAsia="zh-CN"/>
        </w:rPr>
        <w:t>黄石市美丽城市建设政策清单（持续更新）</w:t>
      </w:r>
    </w:p>
    <w:tbl>
      <w:tblPr>
        <w:tblStyle w:val="12"/>
        <w:tblW w:w="5045"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2"/>
        <w:gridCol w:w="845"/>
        <w:gridCol w:w="2420"/>
        <w:gridCol w:w="8158"/>
        <w:gridCol w:w="2296"/>
      </w:tblGrid>
      <w:tr w14:paraId="0AE520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jc w:val="center"/>
        </w:trPr>
        <w:tc>
          <w:tcPr>
            <w:tcW w:w="256" w:type="pct"/>
            <w:vAlign w:val="center"/>
          </w:tcPr>
          <w:p w14:paraId="4065A010">
            <w:pPr>
              <w:jc w:val="center"/>
              <w:rPr>
                <w:rFonts w:ascii="仿宋_GB2312" w:hAnsi="仿宋_GB2312" w:eastAsia="仿宋_GB2312" w:cs="仿宋_GB2312"/>
                <w:b/>
                <w:bCs/>
                <w:sz w:val="24"/>
                <w:szCs w:val="24"/>
                <w:highlight w:val="none"/>
              </w:rPr>
            </w:pPr>
            <w:r>
              <w:rPr>
                <w:rFonts w:hint="eastAsia" w:ascii="仿宋_GB2312" w:hAnsi="仿宋_GB2312" w:eastAsia="仿宋_GB2312" w:cs="仿宋_GB2312"/>
                <w:b/>
                <w:bCs/>
                <w:sz w:val="24"/>
                <w:szCs w:val="24"/>
                <w:highlight w:val="none"/>
              </w:rPr>
              <w:t>领域</w:t>
            </w:r>
          </w:p>
        </w:tc>
        <w:tc>
          <w:tcPr>
            <w:tcW w:w="291" w:type="pct"/>
            <w:vAlign w:val="center"/>
          </w:tcPr>
          <w:p w14:paraId="59AC9735">
            <w:pPr>
              <w:jc w:val="center"/>
              <w:rPr>
                <w:rFonts w:ascii="仿宋_GB2312" w:hAnsi="仿宋_GB2312" w:eastAsia="仿宋_GB2312" w:cs="仿宋_GB2312"/>
                <w:b/>
                <w:bCs/>
                <w:sz w:val="24"/>
                <w:szCs w:val="24"/>
                <w:highlight w:val="none"/>
              </w:rPr>
            </w:pPr>
            <w:r>
              <w:rPr>
                <w:rFonts w:hint="eastAsia" w:ascii="仿宋_GB2312" w:hAnsi="仿宋_GB2312" w:eastAsia="仿宋_GB2312" w:cs="仿宋_GB2312"/>
                <w:b/>
                <w:bCs/>
                <w:sz w:val="24"/>
                <w:szCs w:val="24"/>
                <w:highlight w:val="none"/>
              </w:rPr>
              <w:t>序号</w:t>
            </w:r>
          </w:p>
        </w:tc>
        <w:tc>
          <w:tcPr>
            <w:tcW w:w="836" w:type="pct"/>
            <w:vAlign w:val="center"/>
          </w:tcPr>
          <w:p w14:paraId="1D5A423B">
            <w:pPr>
              <w:jc w:val="center"/>
              <w:rPr>
                <w:rFonts w:ascii="仿宋_GB2312" w:hAnsi="仿宋_GB2312" w:eastAsia="仿宋_GB2312" w:cs="仿宋_GB2312"/>
                <w:b/>
                <w:bCs/>
                <w:sz w:val="24"/>
                <w:szCs w:val="24"/>
                <w:highlight w:val="none"/>
              </w:rPr>
            </w:pPr>
            <w:r>
              <w:rPr>
                <w:rFonts w:hint="eastAsia" w:ascii="仿宋_GB2312" w:hAnsi="仿宋_GB2312" w:eastAsia="仿宋_GB2312" w:cs="仿宋_GB2312"/>
                <w:b/>
                <w:bCs/>
                <w:sz w:val="24"/>
                <w:szCs w:val="24"/>
                <w:highlight w:val="none"/>
              </w:rPr>
              <w:t>政策名称</w:t>
            </w:r>
          </w:p>
        </w:tc>
        <w:tc>
          <w:tcPr>
            <w:tcW w:w="2820" w:type="pct"/>
            <w:vAlign w:val="center"/>
          </w:tcPr>
          <w:p w14:paraId="6FCEC1B6">
            <w:pPr>
              <w:jc w:val="center"/>
              <w:rPr>
                <w:rFonts w:ascii="仿宋_GB2312" w:hAnsi="仿宋_GB2312" w:eastAsia="仿宋_GB2312" w:cs="仿宋_GB2312"/>
                <w:b/>
                <w:bCs/>
                <w:sz w:val="24"/>
                <w:szCs w:val="24"/>
                <w:highlight w:val="none"/>
              </w:rPr>
            </w:pPr>
            <w:r>
              <w:rPr>
                <w:rFonts w:hint="eastAsia" w:ascii="仿宋_GB2312" w:hAnsi="仿宋_GB2312" w:eastAsia="仿宋_GB2312" w:cs="仿宋_GB2312"/>
                <w:b/>
                <w:bCs/>
                <w:sz w:val="24"/>
                <w:szCs w:val="24"/>
                <w:highlight w:val="none"/>
              </w:rPr>
              <w:t>工作内容</w:t>
            </w:r>
          </w:p>
        </w:tc>
        <w:tc>
          <w:tcPr>
            <w:tcW w:w="793" w:type="pct"/>
            <w:vAlign w:val="center"/>
          </w:tcPr>
          <w:p w14:paraId="309F6285">
            <w:pPr>
              <w:jc w:val="center"/>
              <w:rPr>
                <w:rFonts w:ascii="仿宋_GB2312" w:hAnsi="仿宋_GB2312" w:eastAsia="仿宋_GB2312" w:cs="仿宋_GB2312"/>
                <w:b/>
                <w:bCs/>
                <w:sz w:val="24"/>
                <w:szCs w:val="24"/>
                <w:highlight w:val="none"/>
              </w:rPr>
            </w:pPr>
            <w:r>
              <w:rPr>
                <w:rFonts w:hint="eastAsia" w:ascii="仿宋_GB2312" w:hAnsi="仿宋_GB2312" w:eastAsia="仿宋_GB2312" w:cs="仿宋_GB2312"/>
                <w:b/>
                <w:bCs/>
                <w:sz w:val="24"/>
                <w:szCs w:val="24"/>
                <w:highlight w:val="none"/>
                <w:lang w:val="en-US" w:eastAsia="zh-CN"/>
              </w:rPr>
              <w:t>责任</w:t>
            </w:r>
            <w:r>
              <w:rPr>
                <w:rFonts w:hint="eastAsia" w:ascii="仿宋_GB2312" w:hAnsi="仿宋_GB2312" w:eastAsia="仿宋_GB2312" w:cs="仿宋_GB2312"/>
                <w:b/>
                <w:bCs/>
                <w:sz w:val="24"/>
                <w:szCs w:val="24"/>
                <w:highlight w:val="none"/>
              </w:rPr>
              <w:t>单位</w:t>
            </w:r>
          </w:p>
        </w:tc>
      </w:tr>
      <w:tr w14:paraId="5D4562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56" w:type="pct"/>
            <w:vMerge w:val="restart"/>
            <w:vAlign w:val="center"/>
          </w:tcPr>
          <w:p w14:paraId="68DFA28D">
            <w:pPr>
              <w:spacing w:line="290" w:lineRule="exact"/>
              <w:jc w:val="center"/>
              <w:rPr>
                <w:rFonts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绿色低碳</w:t>
            </w:r>
          </w:p>
        </w:tc>
        <w:tc>
          <w:tcPr>
            <w:tcW w:w="291" w:type="pct"/>
            <w:vAlign w:val="center"/>
          </w:tcPr>
          <w:p w14:paraId="4592290F">
            <w:pPr>
              <w:numPr>
                <w:ilvl w:val="0"/>
                <w:numId w:val="5"/>
              </w:numPr>
              <w:spacing w:line="286" w:lineRule="exact"/>
              <w:ind w:left="425" w:leftChars="0" w:hanging="425" w:firstLineChars="0"/>
              <w:jc w:val="center"/>
              <w:rPr>
                <w:rFonts w:ascii="仿宋_GB2312" w:hAnsi="仿宋_GB2312" w:eastAsia="仿宋_GB2312" w:cs="仿宋_GB2312"/>
                <w:sz w:val="24"/>
                <w:szCs w:val="24"/>
                <w:highlight w:val="none"/>
              </w:rPr>
            </w:pPr>
          </w:p>
        </w:tc>
        <w:tc>
          <w:tcPr>
            <w:tcW w:w="836" w:type="pct"/>
            <w:vAlign w:val="center"/>
          </w:tcPr>
          <w:p w14:paraId="70E01AEA">
            <w:pPr>
              <w:spacing w:line="290" w:lineRule="exact"/>
              <w:jc w:val="center"/>
              <w:rPr>
                <w:rFonts w:ascii="仿宋_GB2312" w:hAnsi="仿宋_GB2312" w:eastAsia="仿宋_GB2312" w:cs="仿宋_GB2312"/>
                <w:kern w:val="2"/>
                <w:sz w:val="24"/>
                <w:szCs w:val="24"/>
                <w:highlight w:val="none"/>
                <w:lang w:val="en-US" w:eastAsia="zh-CN" w:bidi="ar-SA"/>
              </w:rPr>
            </w:pPr>
            <w:r>
              <w:rPr>
                <w:rFonts w:hint="eastAsia" w:ascii="仿宋_GB2312" w:hAnsi="仿宋_GB2312" w:eastAsia="仿宋_GB2312" w:cs="仿宋_GB2312"/>
                <w:sz w:val="24"/>
                <w:szCs w:val="24"/>
                <w:highlight w:val="none"/>
              </w:rPr>
              <w:t>园区能效管理政策</w:t>
            </w:r>
          </w:p>
        </w:tc>
        <w:tc>
          <w:tcPr>
            <w:tcW w:w="2820" w:type="pct"/>
            <w:vAlign w:val="center"/>
          </w:tcPr>
          <w:p w14:paraId="74E2A797">
            <w:pPr>
              <w:spacing w:line="290" w:lineRule="exact"/>
              <w:jc w:val="left"/>
              <w:rPr>
                <w:rFonts w:hint="eastAsia" w:ascii="仿宋_GB2312" w:hAnsi="仿宋_GB2312" w:eastAsia="仿宋_GB2312" w:cs="仿宋_GB2312"/>
                <w:kern w:val="2"/>
                <w:sz w:val="24"/>
                <w:szCs w:val="24"/>
                <w:highlight w:val="none"/>
                <w:lang w:val="en-US" w:eastAsia="zh-CN" w:bidi="ar-SA"/>
              </w:rPr>
            </w:pPr>
            <w:r>
              <w:rPr>
                <w:rFonts w:hint="eastAsia" w:ascii="仿宋_GB2312" w:hAnsi="仿宋_GB2312" w:eastAsia="仿宋_GB2312" w:cs="仿宋_GB2312"/>
                <w:sz w:val="24"/>
                <w:szCs w:val="24"/>
                <w:highlight w:val="none"/>
              </w:rPr>
              <w:t>加强园区企业能源审计、节能考核等管理措施</w:t>
            </w:r>
            <w:r>
              <w:rPr>
                <w:rFonts w:hint="eastAsia" w:ascii="仿宋_GB2312" w:hAnsi="仿宋_GB2312" w:eastAsia="仿宋_GB2312" w:cs="仿宋_GB2312"/>
                <w:sz w:val="24"/>
                <w:szCs w:val="24"/>
                <w:highlight w:val="none"/>
                <w:lang w:eastAsia="zh-CN"/>
              </w:rPr>
              <w:t>，</w:t>
            </w:r>
            <w:r>
              <w:rPr>
                <w:rFonts w:hint="eastAsia" w:ascii="仿宋_GB2312" w:hAnsi="仿宋_GB2312" w:eastAsia="仿宋_GB2312" w:cs="仿宋_GB2312"/>
                <w:sz w:val="24"/>
                <w:szCs w:val="24"/>
                <w:highlight w:val="none"/>
              </w:rPr>
              <w:t>制定“一企一策”节能改造方案</w:t>
            </w:r>
            <w:r>
              <w:rPr>
                <w:rFonts w:hint="eastAsia" w:ascii="仿宋_GB2312" w:hAnsi="仿宋_GB2312" w:eastAsia="仿宋_GB2312" w:cs="仿宋_GB2312"/>
                <w:sz w:val="24"/>
                <w:szCs w:val="24"/>
                <w:highlight w:val="none"/>
                <w:lang w:eastAsia="zh-CN"/>
              </w:rPr>
              <w:t>，</w:t>
            </w:r>
            <w:r>
              <w:rPr>
                <w:rFonts w:hint="eastAsia" w:ascii="仿宋_GB2312" w:hAnsi="仿宋_GB2312" w:eastAsia="仿宋_GB2312" w:cs="仿宋_GB2312"/>
                <w:sz w:val="24"/>
                <w:szCs w:val="24"/>
                <w:highlight w:val="none"/>
              </w:rPr>
              <w:t>对未按时完成改造的企业，暂停新增用能指标审批</w:t>
            </w:r>
          </w:p>
        </w:tc>
        <w:tc>
          <w:tcPr>
            <w:tcW w:w="793" w:type="pct"/>
            <w:vAlign w:val="center"/>
          </w:tcPr>
          <w:p w14:paraId="2FF72474">
            <w:pPr>
              <w:spacing w:line="290" w:lineRule="exact"/>
              <w:jc w:val="center"/>
              <w:rPr>
                <w:rFonts w:ascii="仿宋_GB2312" w:hAnsi="仿宋_GB2312" w:eastAsia="仿宋_GB2312" w:cs="仿宋_GB2312"/>
                <w:kern w:val="2"/>
                <w:sz w:val="24"/>
                <w:szCs w:val="24"/>
                <w:highlight w:val="none"/>
                <w:lang w:val="en-US" w:eastAsia="zh-CN" w:bidi="ar-SA"/>
              </w:rPr>
            </w:pPr>
            <w:r>
              <w:rPr>
                <w:rFonts w:hint="eastAsia" w:ascii="仿宋_GB2312" w:hAnsi="仿宋_GB2312" w:eastAsia="仿宋_GB2312" w:cs="仿宋_GB2312"/>
                <w:sz w:val="24"/>
                <w:szCs w:val="24"/>
                <w:highlight w:val="none"/>
              </w:rPr>
              <w:t>市发改委</w:t>
            </w:r>
          </w:p>
        </w:tc>
      </w:tr>
      <w:tr w14:paraId="0376A3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56" w:type="pct"/>
            <w:vMerge w:val="continue"/>
            <w:vAlign w:val="center"/>
          </w:tcPr>
          <w:p w14:paraId="270E2498">
            <w:pPr>
              <w:spacing w:line="290" w:lineRule="exact"/>
              <w:jc w:val="center"/>
              <w:rPr>
                <w:rFonts w:ascii="仿宋_GB2312" w:hAnsi="仿宋_GB2312" w:eastAsia="仿宋_GB2312" w:cs="仿宋_GB2312"/>
                <w:sz w:val="24"/>
                <w:szCs w:val="24"/>
                <w:highlight w:val="none"/>
              </w:rPr>
            </w:pPr>
          </w:p>
        </w:tc>
        <w:tc>
          <w:tcPr>
            <w:tcW w:w="291" w:type="pct"/>
            <w:vAlign w:val="center"/>
          </w:tcPr>
          <w:p w14:paraId="48DC911B">
            <w:pPr>
              <w:numPr>
                <w:ilvl w:val="0"/>
                <w:numId w:val="5"/>
              </w:numPr>
              <w:spacing w:line="286" w:lineRule="exact"/>
              <w:ind w:left="425" w:leftChars="0" w:hanging="425" w:firstLineChars="0"/>
              <w:jc w:val="center"/>
              <w:rPr>
                <w:rFonts w:hint="eastAsia" w:ascii="仿宋_GB2312" w:hAnsi="仿宋_GB2312" w:eastAsia="仿宋_GB2312" w:cs="仿宋_GB2312"/>
                <w:sz w:val="24"/>
                <w:szCs w:val="24"/>
                <w:highlight w:val="none"/>
                <w:lang w:val="en-US" w:eastAsia="zh-CN"/>
              </w:rPr>
            </w:pPr>
          </w:p>
        </w:tc>
        <w:tc>
          <w:tcPr>
            <w:tcW w:w="836" w:type="pct"/>
            <w:vAlign w:val="center"/>
          </w:tcPr>
          <w:p w14:paraId="16B28260">
            <w:pPr>
              <w:spacing w:line="290" w:lineRule="exact"/>
              <w:jc w:val="center"/>
              <w:rPr>
                <w:rFonts w:hint="eastAsia" w:ascii="仿宋_GB2312" w:hAnsi="仿宋_GB2312" w:eastAsia="仿宋_GB2312" w:cs="仿宋_GB2312"/>
                <w:sz w:val="24"/>
                <w:szCs w:val="24"/>
                <w:highlight w:val="none"/>
                <w:lang w:eastAsia="zh-CN"/>
              </w:rPr>
            </w:pPr>
            <w:r>
              <w:rPr>
                <w:rFonts w:hint="eastAsia" w:ascii="仿宋_GB2312" w:hAnsi="仿宋_GB2312" w:eastAsia="仿宋_GB2312" w:cs="仿宋_GB2312"/>
                <w:sz w:val="24"/>
                <w:szCs w:val="24"/>
                <w:highlight w:val="none"/>
              </w:rPr>
              <w:t>绿色建材制度</w:t>
            </w:r>
            <w:r>
              <w:rPr>
                <w:rFonts w:hint="eastAsia" w:ascii="仿宋_GB2312" w:hAnsi="仿宋_GB2312" w:eastAsia="仿宋_GB2312" w:cs="仿宋_GB2312"/>
                <w:sz w:val="24"/>
                <w:szCs w:val="24"/>
                <w:highlight w:val="none"/>
                <w:lang w:val="en-US" w:eastAsia="zh-CN"/>
              </w:rPr>
              <w:t>政策</w:t>
            </w:r>
          </w:p>
        </w:tc>
        <w:tc>
          <w:tcPr>
            <w:tcW w:w="2820" w:type="pct"/>
            <w:vAlign w:val="center"/>
          </w:tcPr>
          <w:p w14:paraId="22320D2A">
            <w:pPr>
              <w:spacing w:line="290" w:lineRule="exact"/>
              <w:jc w:val="left"/>
              <w:rPr>
                <w:rFonts w:hint="eastAsia" w:ascii="仿宋_GB2312" w:hAnsi="仿宋_GB2312" w:eastAsia="仿宋_GB2312" w:cs="仿宋_GB2312"/>
                <w:sz w:val="24"/>
                <w:szCs w:val="24"/>
                <w:highlight w:val="none"/>
                <w:lang w:eastAsia="zh-CN"/>
              </w:rPr>
            </w:pPr>
            <w:r>
              <w:rPr>
                <w:rFonts w:hint="eastAsia" w:ascii="仿宋_GB2312" w:hAnsi="仿宋_GB2312" w:eastAsia="仿宋_GB2312" w:cs="仿宋_GB2312"/>
                <w:sz w:val="24"/>
                <w:szCs w:val="24"/>
                <w:highlight w:val="none"/>
                <w:lang w:val="en-US" w:eastAsia="zh-CN"/>
              </w:rPr>
              <w:t>深化</w:t>
            </w:r>
            <w:r>
              <w:rPr>
                <w:rFonts w:hint="eastAsia" w:ascii="仿宋_GB2312" w:hAnsi="仿宋_GB2312" w:eastAsia="仿宋_GB2312" w:cs="仿宋_GB2312"/>
                <w:sz w:val="24"/>
                <w:szCs w:val="24"/>
                <w:highlight w:val="none"/>
              </w:rPr>
              <w:t>全国政府采购支持绿色建材试点城市</w:t>
            </w:r>
            <w:r>
              <w:rPr>
                <w:rFonts w:hint="eastAsia" w:ascii="仿宋_GB2312" w:hAnsi="仿宋_GB2312" w:eastAsia="仿宋_GB2312" w:cs="仿宋_GB2312"/>
                <w:sz w:val="24"/>
                <w:szCs w:val="24"/>
                <w:highlight w:val="none"/>
                <w:lang w:val="en-US" w:eastAsia="zh-CN"/>
              </w:rPr>
              <w:t>建设，落实</w:t>
            </w:r>
            <w:r>
              <w:rPr>
                <w:rFonts w:hint="eastAsia" w:ascii="仿宋_GB2312" w:hAnsi="仿宋_GB2312" w:eastAsia="仿宋_GB2312" w:cs="仿宋_GB2312"/>
                <w:sz w:val="24"/>
                <w:szCs w:val="24"/>
                <w:highlight w:val="none"/>
              </w:rPr>
              <w:t>《黄石市政府采购绿色建材产品信息登记工作指南（试行）》</w:t>
            </w:r>
            <w:r>
              <w:rPr>
                <w:rFonts w:hint="eastAsia" w:ascii="仿宋_GB2312" w:hAnsi="仿宋_GB2312" w:eastAsia="仿宋_GB2312" w:cs="仿宋_GB2312"/>
                <w:sz w:val="24"/>
                <w:szCs w:val="24"/>
                <w:highlight w:val="none"/>
                <w:lang w:eastAsia="zh-CN"/>
              </w:rPr>
              <w:t>，</w:t>
            </w:r>
            <w:r>
              <w:rPr>
                <w:rFonts w:hint="eastAsia" w:ascii="仿宋_GB2312" w:hAnsi="仿宋_GB2312" w:eastAsia="仿宋_GB2312" w:cs="仿宋_GB2312"/>
                <w:sz w:val="24"/>
                <w:szCs w:val="24"/>
                <w:highlight w:val="none"/>
              </w:rPr>
              <w:t>加强绿色建材采购管理</w:t>
            </w:r>
            <w:r>
              <w:rPr>
                <w:rFonts w:hint="eastAsia" w:ascii="仿宋_GB2312" w:hAnsi="仿宋_GB2312" w:eastAsia="仿宋_GB2312" w:cs="仿宋_GB2312"/>
                <w:sz w:val="24"/>
                <w:szCs w:val="24"/>
                <w:highlight w:val="none"/>
                <w:lang w:eastAsia="zh-CN"/>
              </w:rPr>
              <w:t>。</w:t>
            </w:r>
            <w:r>
              <w:rPr>
                <w:rFonts w:hint="eastAsia" w:ascii="仿宋_GB2312" w:hAnsi="仿宋_GB2312" w:eastAsia="仿宋_GB2312" w:cs="仿宋_GB2312"/>
                <w:sz w:val="24"/>
                <w:szCs w:val="24"/>
                <w:highlight w:val="none"/>
                <w:lang w:val="en-US" w:eastAsia="zh-CN"/>
              </w:rPr>
              <w:t>持续完善黄石市绿色建材产业链供应链平台，引导全市建材企业将其全系列绿色建材产品入驻平台，重点打造集建材商城、智慧物流、供应链金融、行业标准制定于一体的综合服务体系</w:t>
            </w:r>
            <w:r>
              <w:rPr>
                <w:rFonts w:hint="eastAsia" w:ascii="仿宋_GB2312" w:hAnsi="仿宋_GB2312" w:eastAsia="仿宋_GB2312" w:cs="仿宋_GB2312"/>
                <w:sz w:val="24"/>
                <w:szCs w:val="24"/>
                <w:highlight w:val="none"/>
                <w:lang w:eastAsia="zh-CN"/>
              </w:rPr>
              <w:t>。</w:t>
            </w:r>
          </w:p>
        </w:tc>
        <w:tc>
          <w:tcPr>
            <w:tcW w:w="793" w:type="pct"/>
            <w:vAlign w:val="center"/>
          </w:tcPr>
          <w:p w14:paraId="1D3956A0">
            <w:pPr>
              <w:spacing w:line="290" w:lineRule="exact"/>
              <w:jc w:val="center"/>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市财政局</w:t>
            </w:r>
            <w:r>
              <w:rPr>
                <w:rFonts w:hint="eastAsia" w:ascii="仿宋_GB2312" w:hAnsi="仿宋_GB2312" w:eastAsia="仿宋_GB2312" w:cs="仿宋_GB2312"/>
                <w:sz w:val="24"/>
                <w:szCs w:val="24"/>
                <w:highlight w:val="none"/>
                <w:lang w:eastAsia="zh-CN"/>
              </w:rPr>
              <w:t>、</w:t>
            </w:r>
            <w:r>
              <w:rPr>
                <w:rFonts w:hint="eastAsia" w:ascii="仿宋_GB2312" w:hAnsi="仿宋_GB2312" w:eastAsia="仿宋_GB2312" w:cs="仿宋_GB2312"/>
                <w:sz w:val="24"/>
                <w:szCs w:val="24"/>
                <w:highlight w:val="none"/>
              </w:rPr>
              <w:t>市住房和城市更新局</w:t>
            </w:r>
          </w:p>
        </w:tc>
      </w:tr>
      <w:tr w14:paraId="30C0F2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56" w:type="pct"/>
            <w:vMerge w:val="continue"/>
            <w:vAlign w:val="center"/>
          </w:tcPr>
          <w:p w14:paraId="4CCA7132">
            <w:pPr>
              <w:spacing w:line="290" w:lineRule="exact"/>
              <w:jc w:val="center"/>
              <w:rPr>
                <w:rFonts w:ascii="仿宋_GB2312" w:hAnsi="仿宋_GB2312" w:eastAsia="仿宋_GB2312" w:cs="仿宋_GB2312"/>
                <w:sz w:val="24"/>
                <w:szCs w:val="24"/>
                <w:highlight w:val="none"/>
              </w:rPr>
            </w:pPr>
          </w:p>
        </w:tc>
        <w:tc>
          <w:tcPr>
            <w:tcW w:w="291" w:type="pct"/>
            <w:vAlign w:val="center"/>
          </w:tcPr>
          <w:p w14:paraId="1660F622">
            <w:pPr>
              <w:numPr>
                <w:ilvl w:val="0"/>
                <w:numId w:val="5"/>
              </w:numPr>
              <w:spacing w:line="286" w:lineRule="exact"/>
              <w:ind w:left="425" w:leftChars="0" w:hanging="425" w:firstLineChars="0"/>
              <w:jc w:val="center"/>
              <w:rPr>
                <w:rFonts w:hint="eastAsia" w:ascii="仿宋_GB2312" w:hAnsi="仿宋_GB2312" w:eastAsia="仿宋_GB2312" w:cs="仿宋_GB2312"/>
                <w:sz w:val="24"/>
                <w:szCs w:val="24"/>
                <w:highlight w:val="none"/>
              </w:rPr>
            </w:pPr>
          </w:p>
        </w:tc>
        <w:tc>
          <w:tcPr>
            <w:tcW w:w="836" w:type="pct"/>
            <w:vAlign w:val="center"/>
          </w:tcPr>
          <w:p w14:paraId="207E0259">
            <w:pPr>
              <w:spacing w:line="290" w:lineRule="exact"/>
              <w:jc w:val="center"/>
              <w:rPr>
                <w:rFonts w:hint="default" w:ascii="仿宋_GB2312" w:hAnsi="仿宋_GB2312" w:eastAsia="仿宋_GB2312" w:cs="仿宋_GB2312"/>
                <w:sz w:val="24"/>
                <w:szCs w:val="24"/>
                <w:highlight w:val="none"/>
                <w:lang w:val="en-US" w:eastAsia="zh-CN"/>
              </w:rPr>
            </w:pPr>
            <w:r>
              <w:rPr>
                <w:rFonts w:hint="eastAsia" w:ascii="仿宋_GB2312" w:hAnsi="仿宋_GB2312" w:eastAsia="仿宋_GB2312" w:cs="仿宋_GB2312"/>
                <w:sz w:val="24"/>
                <w:szCs w:val="24"/>
                <w:highlight w:val="none"/>
                <w:lang w:val="en-US" w:eastAsia="zh-CN"/>
              </w:rPr>
              <w:t>建筑节能改造政策</w:t>
            </w:r>
          </w:p>
        </w:tc>
        <w:tc>
          <w:tcPr>
            <w:tcW w:w="2820" w:type="pct"/>
            <w:vAlign w:val="center"/>
          </w:tcPr>
          <w:p w14:paraId="64A8FB03">
            <w:pPr>
              <w:spacing w:line="290" w:lineRule="exact"/>
              <w:jc w:val="left"/>
              <w:rPr>
                <w:rFonts w:hint="eastAsia" w:ascii="仿宋_GB2312" w:hAnsi="仿宋_GB2312" w:eastAsia="仿宋_GB2312" w:cs="仿宋_GB2312"/>
                <w:sz w:val="24"/>
                <w:szCs w:val="24"/>
                <w:highlight w:val="none"/>
                <w:lang w:eastAsia="zh-CN"/>
              </w:rPr>
            </w:pPr>
            <w:r>
              <w:rPr>
                <w:rFonts w:hint="eastAsia" w:ascii="仿宋_GB2312" w:hAnsi="仿宋_GB2312" w:eastAsia="仿宋_GB2312" w:cs="仿宋_GB2312"/>
                <w:sz w:val="24"/>
                <w:szCs w:val="24"/>
                <w:highlight w:val="none"/>
              </w:rPr>
              <w:t>建立黄石市级建筑节能降碳改造数据库，争创建筑数字化智能化运行管理平台建设试点。建立能耗监管体系，制定能耗限额标准，推广合同能源管理模式，开展能源费用托管服务试点。</w:t>
            </w:r>
          </w:p>
        </w:tc>
        <w:tc>
          <w:tcPr>
            <w:tcW w:w="793" w:type="pct"/>
            <w:vAlign w:val="center"/>
          </w:tcPr>
          <w:p w14:paraId="6A5B338F">
            <w:pPr>
              <w:spacing w:line="290" w:lineRule="exact"/>
              <w:jc w:val="center"/>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市住房和城市更新局</w:t>
            </w:r>
          </w:p>
        </w:tc>
      </w:tr>
      <w:tr w14:paraId="272D79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56" w:type="pct"/>
            <w:vMerge w:val="continue"/>
            <w:vAlign w:val="center"/>
          </w:tcPr>
          <w:p w14:paraId="45AFABB6">
            <w:pPr>
              <w:spacing w:line="290" w:lineRule="exact"/>
              <w:jc w:val="center"/>
              <w:rPr>
                <w:rFonts w:ascii="仿宋_GB2312" w:hAnsi="仿宋_GB2312" w:eastAsia="仿宋_GB2312" w:cs="仿宋_GB2312"/>
                <w:sz w:val="24"/>
                <w:szCs w:val="24"/>
                <w:highlight w:val="none"/>
              </w:rPr>
            </w:pPr>
          </w:p>
        </w:tc>
        <w:tc>
          <w:tcPr>
            <w:tcW w:w="291" w:type="pct"/>
            <w:vAlign w:val="center"/>
          </w:tcPr>
          <w:p w14:paraId="16109203">
            <w:pPr>
              <w:numPr>
                <w:ilvl w:val="0"/>
                <w:numId w:val="5"/>
              </w:numPr>
              <w:spacing w:line="286" w:lineRule="exact"/>
              <w:ind w:left="425" w:leftChars="0" w:hanging="425" w:firstLineChars="0"/>
              <w:jc w:val="center"/>
              <w:rPr>
                <w:rFonts w:hint="eastAsia" w:ascii="仿宋_GB2312" w:hAnsi="仿宋_GB2312" w:eastAsia="仿宋_GB2312" w:cs="仿宋_GB2312"/>
                <w:sz w:val="24"/>
                <w:szCs w:val="24"/>
                <w:highlight w:val="none"/>
              </w:rPr>
            </w:pPr>
          </w:p>
        </w:tc>
        <w:tc>
          <w:tcPr>
            <w:tcW w:w="836" w:type="pct"/>
            <w:vAlign w:val="center"/>
          </w:tcPr>
          <w:p w14:paraId="429675C8">
            <w:pPr>
              <w:spacing w:line="290" w:lineRule="exact"/>
              <w:jc w:val="center"/>
              <w:rPr>
                <w:rFonts w:hint="eastAsia" w:ascii="仿宋_GB2312" w:hAnsi="仿宋_GB2312" w:eastAsia="仿宋_GB2312" w:cs="仿宋_GB2312"/>
                <w:kern w:val="2"/>
                <w:sz w:val="24"/>
                <w:szCs w:val="24"/>
                <w:highlight w:val="none"/>
                <w:lang w:val="en-US" w:eastAsia="zh-CN" w:bidi="ar-SA"/>
              </w:rPr>
            </w:pPr>
            <w:r>
              <w:rPr>
                <w:rFonts w:hint="eastAsia" w:ascii="仿宋_GB2312" w:hAnsi="仿宋_GB2312" w:eastAsia="仿宋_GB2312" w:cs="仿宋_GB2312"/>
                <w:sz w:val="24"/>
                <w:szCs w:val="24"/>
                <w:highlight w:val="none"/>
              </w:rPr>
              <w:t>公共交通绿色发展政策</w:t>
            </w:r>
          </w:p>
        </w:tc>
        <w:tc>
          <w:tcPr>
            <w:tcW w:w="2820" w:type="pct"/>
            <w:vAlign w:val="center"/>
          </w:tcPr>
          <w:p w14:paraId="34538BCA">
            <w:pPr>
              <w:spacing w:line="290" w:lineRule="exact"/>
              <w:jc w:val="left"/>
              <w:rPr>
                <w:rFonts w:hint="eastAsia" w:ascii="仿宋_GB2312" w:hAnsi="仿宋_GB2312" w:eastAsia="仿宋_GB2312" w:cs="仿宋_GB2312"/>
                <w:kern w:val="2"/>
                <w:sz w:val="24"/>
                <w:szCs w:val="24"/>
                <w:highlight w:val="none"/>
                <w:lang w:val="en-US" w:eastAsia="zh-CN" w:bidi="ar-SA"/>
              </w:rPr>
            </w:pPr>
            <w:r>
              <w:rPr>
                <w:rFonts w:hint="eastAsia" w:ascii="仿宋_GB2312" w:hAnsi="仿宋_GB2312" w:eastAsia="仿宋_GB2312" w:cs="仿宋_GB2312"/>
                <w:sz w:val="24"/>
                <w:szCs w:val="24"/>
                <w:highlight w:val="none"/>
              </w:rPr>
              <w:t>落实《黄石市公共交通条例》要求，优化公交线网布局，推广“大站快线”和定制公交服务，设置公交专用车道，完善公交设施配套，引导市民绿色出行、低碳通勤</w:t>
            </w:r>
            <w:r>
              <w:rPr>
                <w:rFonts w:hint="eastAsia" w:ascii="仿宋_GB2312" w:hAnsi="仿宋_GB2312" w:eastAsia="仿宋_GB2312" w:cs="仿宋_GB2312"/>
                <w:sz w:val="24"/>
                <w:szCs w:val="24"/>
                <w:highlight w:val="none"/>
                <w:lang w:eastAsia="zh-CN"/>
              </w:rPr>
              <w:t>。</w:t>
            </w:r>
          </w:p>
        </w:tc>
        <w:tc>
          <w:tcPr>
            <w:tcW w:w="793" w:type="pct"/>
            <w:vAlign w:val="center"/>
          </w:tcPr>
          <w:p w14:paraId="2529BE91">
            <w:pPr>
              <w:spacing w:line="290" w:lineRule="exact"/>
              <w:jc w:val="center"/>
              <w:rPr>
                <w:rFonts w:hint="default" w:ascii="仿宋_GB2312" w:hAnsi="仿宋_GB2312" w:eastAsia="仿宋_GB2312" w:cs="仿宋_GB2312"/>
                <w:sz w:val="24"/>
                <w:szCs w:val="24"/>
                <w:highlight w:val="none"/>
                <w:lang w:val="en-US" w:eastAsia="zh-CN"/>
              </w:rPr>
            </w:pPr>
            <w:r>
              <w:rPr>
                <w:rFonts w:hint="eastAsia" w:ascii="仿宋_GB2312" w:hAnsi="仿宋_GB2312" w:eastAsia="仿宋_GB2312" w:cs="仿宋_GB2312"/>
                <w:sz w:val="24"/>
                <w:szCs w:val="24"/>
                <w:highlight w:val="none"/>
                <w:lang w:val="en-US" w:eastAsia="zh-CN"/>
              </w:rPr>
              <w:t>市交通运输局</w:t>
            </w:r>
          </w:p>
        </w:tc>
      </w:tr>
      <w:tr w14:paraId="2FE9BC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256" w:type="pct"/>
            <w:vMerge w:val="continue"/>
            <w:vAlign w:val="center"/>
          </w:tcPr>
          <w:p w14:paraId="511A9975">
            <w:pPr>
              <w:spacing w:line="290" w:lineRule="exact"/>
              <w:jc w:val="center"/>
              <w:rPr>
                <w:rFonts w:ascii="仿宋_GB2312" w:hAnsi="仿宋_GB2312" w:eastAsia="仿宋_GB2312" w:cs="仿宋_GB2312"/>
                <w:sz w:val="24"/>
                <w:szCs w:val="24"/>
                <w:highlight w:val="none"/>
              </w:rPr>
            </w:pPr>
          </w:p>
        </w:tc>
        <w:tc>
          <w:tcPr>
            <w:tcW w:w="291" w:type="pct"/>
            <w:vAlign w:val="center"/>
          </w:tcPr>
          <w:p w14:paraId="3FAA6F79">
            <w:pPr>
              <w:numPr>
                <w:ilvl w:val="0"/>
                <w:numId w:val="5"/>
              </w:numPr>
              <w:spacing w:line="286" w:lineRule="exact"/>
              <w:ind w:left="425" w:leftChars="0" w:hanging="425" w:firstLineChars="0"/>
              <w:jc w:val="center"/>
              <w:rPr>
                <w:rFonts w:hint="eastAsia" w:ascii="仿宋_GB2312" w:hAnsi="仿宋_GB2312" w:eastAsia="仿宋_GB2312" w:cs="仿宋_GB2312"/>
                <w:sz w:val="24"/>
                <w:szCs w:val="24"/>
                <w:highlight w:val="none"/>
              </w:rPr>
            </w:pPr>
          </w:p>
        </w:tc>
        <w:tc>
          <w:tcPr>
            <w:tcW w:w="836" w:type="pct"/>
            <w:vAlign w:val="center"/>
          </w:tcPr>
          <w:p w14:paraId="5B414403">
            <w:pPr>
              <w:spacing w:line="290" w:lineRule="exact"/>
              <w:jc w:val="center"/>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lang w:val="en-US" w:eastAsia="zh-CN"/>
              </w:rPr>
              <w:t>减污降碳协同创新</w:t>
            </w:r>
          </w:p>
        </w:tc>
        <w:tc>
          <w:tcPr>
            <w:tcW w:w="2820" w:type="pct"/>
            <w:vAlign w:val="center"/>
          </w:tcPr>
          <w:p w14:paraId="294EAA91">
            <w:pPr>
              <w:spacing w:line="290" w:lineRule="exact"/>
              <w:jc w:val="left"/>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lang w:val="en-US" w:eastAsia="zh-CN"/>
              </w:rPr>
              <w:t>支持经济技术开发区·铁山区、</w:t>
            </w:r>
            <w:r>
              <w:rPr>
                <w:rFonts w:hint="eastAsia" w:ascii="仿宋_GB2312" w:hAnsi="仿宋_GB2312" w:eastAsia="仿宋_GB2312" w:cs="仿宋_GB2312"/>
                <w:sz w:val="24"/>
                <w:szCs w:val="24"/>
                <w:highlight w:val="none"/>
              </w:rPr>
              <w:t>大冶湖国家高新区</w:t>
            </w:r>
            <w:r>
              <w:rPr>
                <w:rFonts w:hint="eastAsia" w:ascii="仿宋_GB2312" w:hAnsi="仿宋_GB2312" w:eastAsia="仿宋_GB2312" w:cs="仿宋_GB2312"/>
                <w:sz w:val="24"/>
                <w:szCs w:val="24"/>
                <w:highlight w:val="none"/>
                <w:lang w:eastAsia="zh-CN"/>
              </w:rPr>
              <w:t>、</w:t>
            </w:r>
            <w:r>
              <w:rPr>
                <w:rFonts w:hint="eastAsia" w:ascii="仿宋_GB2312" w:hAnsi="仿宋_GB2312" w:eastAsia="仿宋_GB2312" w:cs="仿宋_GB2312"/>
                <w:sz w:val="24"/>
                <w:szCs w:val="24"/>
                <w:highlight w:val="none"/>
              </w:rPr>
              <w:t>黄石新港</w:t>
            </w:r>
            <w:r>
              <w:rPr>
                <w:rFonts w:hint="eastAsia" w:ascii="仿宋_GB2312" w:hAnsi="仿宋_GB2312" w:eastAsia="仿宋_GB2312" w:cs="仿宋_GB2312"/>
                <w:sz w:val="24"/>
                <w:szCs w:val="24"/>
                <w:highlight w:val="none"/>
                <w:lang w:eastAsia="zh-CN"/>
              </w:rPr>
              <w:t>（</w:t>
            </w:r>
            <w:r>
              <w:rPr>
                <w:rFonts w:hint="eastAsia" w:ascii="仿宋_GB2312" w:hAnsi="仿宋_GB2312" w:eastAsia="仿宋_GB2312" w:cs="仿宋_GB2312"/>
                <w:sz w:val="24"/>
                <w:szCs w:val="24"/>
                <w:highlight w:val="none"/>
              </w:rPr>
              <w:t>物流</w:t>
            </w:r>
            <w:r>
              <w:rPr>
                <w:rFonts w:hint="eastAsia" w:ascii="仿宋_GB2312" w:hAnsi="仿宋_GB2312" w:eastAsia="仿宋_GB2312" w:cs="仿宋_GB2312"/>
                <w:sz w:val="24"/>
                <w:szCs w:val="24"/>
                <w:highlight w:val="none"/>
                <w:lang w:eastAsia="zh-CN"/>
              </w:rPr>
              <w:t>）</w:t>
            </w:r>
            <w:r>
              <w:rPr>
                <w:rFonts w:hint="eastAsia" w:ascii="仿宋_GB2312" w:hAnsi="仿宋_GB2312" w:eastAsia="仿宋_GB2312" w:cs="仿宋_GB2312"/>
                <w:sz w:val="24"/>
                <w:szCs w:val="24"/>
                <w:highlight w:val="none"/>
              </w:rPr>
              <w:t>工业园区</w:t>
            </w:r>
            <w:r>
              <w:rPr>
                <w:rFonts w:hint="eastAsia" w:ascii="仿宋_GB2312" w:hAnsi="仿宋_GB2312" w:eastAsia="仿宋_GB2312" w:cs="仿宋_GB2312"/>
                <w:sz w:val="24"/>
                <w:szCs w:val="24"/>
                <w:highlight w:val="none"/>
                <w:lang w:val="en-US" w:eastAsia="zh-CN"/>
              </w:rPr>
              <w:t>申报国家城市和产业园区减污降碳协同创新试点</w:t>
            </w:r>
            <w:r>
              <w:rPr>
                <w:rFonts w:hint="eastAsia" w:ascii="仿宋_GB2312" w:hAnsi="仿宋_GB2312" w:eastAsia="仿宋_GB2312" w:cs="仿宋_GB2312"/>
                <w:sz w:val="24"/>
                <w:szCs w:val="24"/>
                <w:highlight w:val="none"/>
              </w:rPr>
              <w:t>，形成引领产业转型升级、低碳物流的样板。</w:t>
            </w:r>
          </w:p>
        </w:tc>
        <w:tc>
          <w:tcPr>
            <w:tcW w:w="793" w:type="pct"/>
            <w:vAlign w:val="center"/>
          </w:tcPr>
          <w:p w14:paraId="17617990">
            <w:pPr>
              <w:spacing w:line="290" w:lineRule="exact"/>
              <w:jc w:val="center"/>
              <w:rPr>
                <w:rFonts w:hint="eastAsia" w:ascii="仿宋_GB2312" w:hAnsi="仿宋_GB2312" w:eastAsia="仿宋_GB2312" w:cs="仿宋_GB2312"/>
                <w:sz w:val="24"/>
                <w:szCs w:val="24"/>
                <w:highlight w:val="none"/>
                <w:lang w:eastAsia="zh-CN"/>
              </w:rPr>
            </w:pPr>
            <w:r>
              <w:rPr>
                <w:rFonts w:hint="eastAsia" w:ascii="仿宋_GB2312" w:hAnsi="仿宋_GB2312" w:eastAsia="仿宋_GB2312" w:cs="仿宋_GB2312"/>
                <w:sz w:val="24"/>
                <w:szCs w:val="24"/>
                <w:highlight w:val="none"/>
                <w:lang w:val="en-US" w:eastAsia="zh-CN"/>
              </w:rPr>
              <w:t>市</w:t>
            </w:r>
            <w:r>
              <w:rPr>
                <w:rFonts w:hint="eastAsia" w:ascii="仿宋_GB2312" w:hAnsi="仿宋_GB2312" w:eastAsia="仿宋_GB2312" w:cs="仿宋_GB2312"/>
                <w:sz w:val="24"/>
                <w:szCs w:val="24"/>
                <w:highlight w:val="none"/>
              </w:rPr>
              <w:t>生态环境</w:t>
            </w:r>
            <w:r>
              <w:rPr>
                <w:rFonts w:hint="eastAsia" w:ascii="仿宋_GB2312" w:hAnsi="仿宋_GB2312" w:eastAsia="仿宋_GB2312" w:cs="仿宋_GB2312"/>
                <w:sz w:val="24"/>
                <w:szCs w:val="24"/>
                <w:highlight w:val="none"/>
                <w:lang w:val="en-US" w:eastAsia="zh-CN"/>
              </w:rPr>
              <w:t>局</w:t>
            </w:r>
          </w:p>
        </w:tc>
      </w:tr>
      <w:tr w14:paraId="1AC6B9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256" w:type="pct"/>
            <w:vMerge w:val="continue"/>
            <w:vAlign w:val="center"/>
          </w:tcPr>
          <w:p w14:paraId="70B90BA5">
            <w:pPr>
              <w:spacing w:line="290" w:lineRule="exact"/>
              <w:jc w:val="center"/>
              <w:rPr>
                <w:rFonts w:ascii="仿宋_GB2312" w:hAnsi="仿宋_GB2312" w:eastAsia="仿宋_GB2312" w:cs="仿宋_GB2312"/>
                <w:sz w:val="24"/>
                <w:szCs w:val="24"/>
                <w:highlight w:val="none"/>
              </w:rPr>
            </w:pPr>
          </w:p>
        </w:tc>
        <w:tc>
          <w:tcPr>
            <w:tcW w:w="291" w:type="pct"/>
            <w:vAlign w:val="center"/>
          </w:tcPr>
          <w:p w14:paraId="3E012802">
            <w:pPr>
              <w:numPr>
                <w:ilvl w:val="0"/>
                <w:numId w:val="5"/>
              </w:numPr>
              <w:spacing w:line="286" w:lineRule="exact"/>
              <w:ind w:left="425" w:leftChars="0" w:hanging="425" w:firstLineChars="0"/>
              <w:jc w:val="center"/>
              <w:rPr>
                <w:rFonts w:hint="eastAsia" w:ascii="仿宋_GB2312" w:hAnsi="仿宋_GB2312" w:eastAsia="仿宋_GB2312" w:cs="仿宋_GB2312"/>
                <w:sz w:val="24"/>
                <w:szCs w:val="24"/>
                <w:highlight w:val="none"/>
              </w:rPr>
            </w:pPr>
          </w:p>
        </w:tc>
        <w:tc>
          <w:tcPr>
            <w:tcW w:w="836" w:type="pct"/>
            <w:vAlign w:val="center"/>
          </w:tcPr>
          <w:p w14:paraId="2DA2F3FA">
            <w:pPr>
              <w:spacing w:line="290" w:lineRule="exact"/>
              <w:jc w:val="center"/>
              <w:rPr>
                <w:rFonts w:hint="eastAsia" w:ascii="仿宋_GB2312" w:hAnsi="仿宋_GB2312" w:eastAsia="仿宋_GB2312" w:cs="仿宋_GB2312"/>
                <w:kern w:val="2"/>
                <w:sz w:val="24"/>
                <w:szCs w:val="24"/>
                <w:highlight w:val="none"/>
                <w:lang w:val="en-US" w:eastAsia="zh-CN" w:bidi="ar-SA"/>
              </w:rPr>
            </w:pPr>
            <w:r>
              <w:rPr>
                <w:rFonts w:hint="eastAsia" w:ascii="仿宋_GB2312" w:hAnsi="仿宋_GB2312" w:eastAsia="仿宋_GB2312" w:cs="仿宋_GB2312"/>
                <w:b w:val="0"/>
                <w:bCs w:val="0"/>
                <w:sz w:val="24"/>
                <w:szCs w:val="24"/>
                <w:highlight w:val="none"/>
                <w:lang w:val="en-US" w:eastAsia="zh-CN"/>
              </w:rPr>
              <w:t>绿色金融创新政策</w:t>
            </w:r>
          </w:p>
        </w:tc>
        <w:tc>
          <w:tcPr>
            <w:tcW w:w="2820" w:type="pct"/>
            <w:vAlign w:val="center"/>
          </w:tcPr>
          <w:p w14:paraId="27EC8C01">
            <w:pPr>
              <w:widowControl/>
              <w:spacing w:line="240" w:lineRule="auto"/>
              <w:jc w:val="left"/>
              <w:rPr>
                <w:rFonts w:hint="eastAsia" w:ascii="仿宋_GB2312" w:hAnsi="仿宋_GB2312" w:eastAsia="仿宋_GB2312" w:cs="仿宋_GB2312"/>
                <w:kern w:val="2"/>
                <w:sz w:val="24"/>
                <w:szCs w:val="24"/>
                <w:highlight w:val="none"/>
                <w:lang w:val="en-US" w:eastAsia="zh-CN" w:bidi="ar-SA"/>
              </w:rPr>
            </w:pPr>
            <w:r>
              <w:rPr>
                <w:rFonts w:ascii="仿宋_GB2312" w:hAnsi="宋体" w:eastAsia="仿宋_GB2312" w:cs="仿宋_GB2312"/>
                <w:color w:val="000000"/>
                <w:kern w:val="0"/>
                <w:sz w:val="24"/>
                <w:szCs w:val="24"/>
                <w:highlight w:val="none"/>
                <w:lang w:val="en-US" w:eastAsia="zh-CN"/>
              </w:rPr>
              <w:t>积极对接“中碳登”，</w:t>
            </w:r>
            <w:r>
              <w:rPr>
                <w:rFonts w:hint="eastAsia" w:ascii="仿宋_GB2312" w:hAnsi="仿宋_GB2312" w:eastAsia="仿宋_GB2312" w:cs="仿宋_GB2312"/>
                <w:sz w:val="24"/>
                <w:szCs w:val="24"/>
                <w:highlight w:val="none"/>
              </w:rPr>
              <w:t>深入探索碳排放权质押贷款与碳金融融合，稳步扩大碳金融产品种类和规模。推进碳质押碳回购、借碳规模稳定增长，探索碳债券、碳资产ABS证券化创新产品。</w:t>
            </w:r>
          </w:p>
        </w:tc>
        <w:tc>
          <w:tcPr>
            <w:tcW w:w="793" w:type="pct"/>
            <w:vAlign w:val="center"/>
          </w:tcPr>
          <w:p w14:paraId="7EBDA0D6">
            <w:pPr>
              <w:spacing w:line="290" w:lineRule="exact"/>
              <w:jc w:val="center"/>
              <w:rPr>
                <w:rFonts w:hint="eastAsia" w:ascii="仿宋_GB2312" w:hAnsi="仿宋_GB2312" w:eastAsia="仿宋_GB2312" w:cs="仿宋_GB2312"/>
                <w:kern w:val="2"/>
                <w:sz w:val="24"/>
                <w:szCs w:val="24"/>
                <w:highlight w:val="none"/>
                <w:lang w:val="en-US" w:eastAsia="zh-CN" w:bidi="ar-SA"/>
              </w:rPr>
            </w:pPr>
            <w:r>
              <w:rPr>
                <w:rFonts w:hint="eastAsia" w:ascii="仿宋_GB2312" w:hAnsi="仿宋_GB2312" w:eastAsia="仿宋_GB2312" w:cs="仿宋_GB2312"/>
                <w:sz w:val="24"/>
                <w:szCs w:val="24"/>
                <w:highlight w:val="none"/>
              </w:rPr>
              <w:t>市生态环境局</w:t>
            </w:r>
            <w:r>
              <w:rPr>
                <w:rFonts w:hint="eastAsia" w:ascii="仿宋_GB2312" w:hAnsi="仿宋_GB2312" w:eastAsia="仿宋_GB2312" w:cs="仿宋_GB2312"/>
                <w:sz w:val="24"/>
                <w:szCs w:val="24"/>
                <w:highlight w:val="none"/>
                <w:lang w:eastAsia="zh-CN"/>
              </w:rPr>
              <w:t>、</w:t>
            </w:r>
            <w:r>
              <w:rPr>
                <w:rFonts w:hint="eastAsia" w:ascii="仿宋_GB2312" w:hAnsi="仿宋_GB2312" w:eastAsia="仿宋_GB2312" w:cs="仿宋_GB2312"/>
                <w:sz w:val="24"/>
                <w:szCs w:val="24"/>
                <w:highlight w:val="none"/>
              </w:rPr>
              <w:t>人行黄石分行</w:t>
            </w:r>
          </w:p>
        </w:tc>
      </w:tr>
      <w:tr w14:paraId="06DFA4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256" w:type="pct"/>
            <w:vMerge w:val="continue"/>
            <w:vAlign w:val="center"/>
          </w:tcPr>
          <w:p w14:paraId="43930B65">
            <w:pPr>
              <w:spacing w:line="290" w:lineRule="exact"/>
              <w:jc w:val="center"/>
              <w:rPr>
                <w:rFonts w:ascii="仿宋_GB2312" w:hAnsi="仿宋_GB2312" w:eastAsia="仿宋_GB2312" w:cs="仿宋_GB2312"/>
                <w:sz w:val="24"/>
                <w:szCs w:val="24"/>
                <w:highlight w:val="none"/>
              </w:rPr>
            </w:pPr>
          </w:p>
        </w:tc>
        <w:tc>
          <w:tcPr>
            <w:tcW w:w="291" w:type="pct"/>
            <w:vAlign w:val="center"/>
          </w:tcPr>
          <w:p w14:paraId="5060521C">
            <w:pPr>
              <w:numPr>
                <w:ilvl w:val="0"/>
                <w:numId w:val="5"/>
              </w:numPr>
              <w:spacing w:line="286" w:lineRule="exact"/>
              <w:ind w:left="425" w:leftChars="0" w:hanging="425" w:firstLineChars="0"/>
              <w:jc w:val="center"/>
              <w:rPr>
                <w:rFonts w:hint="eastAsia" w:ascii="仿宋_GB2312" w:hAnsi="仿宋_GB2312" w:eastAsia="仿宋_GB2312" w:cs="仿宋_GB2312"/>
                <w:sz w:val="24"/>
                <w:szCs w:val="24"/>
                <w:highlight w:val="none"/>
              </w:rPr>
            </w:pPr>
          </w:p>
        </w:tc>
        <w:tc>
          <w:tcPr>
            <w:tcW w:w="836" w:type="pct"/>
            <w:vAlign w:val="center"/>
          </w:tcPr>
          <w:p w14:paraId="7595BD79">
            <w:pPr>
              <w:spacing w:line="300" w:lineRule="exact"/>
              <w:jc w:val="center"/>
              <w:rPr>
                <w:rFonts w:hint="eastAsia" w:ascii="仿宋_GB2312" w:hAnsi="仿宋_GB2312" w:eastAsia="仿宋_GB2312" w:cs="仿宋_GB2312"/>
                <w:kern w:val="2"/>
                <w:sz w:val="24"/>
                <w:szCs w:val="24"/>
                <w:highlight w:val="none"/>
                <w:lang w:val="en-US" w:eastAsia="zh-CN" w:bidi="ar-SA"/>
              </w:rPr>
            </w:pPr>
            <w:r>
              <w:rPr>
                <w:rFonts w:hint="eastAsia" w:ascii="仿宋_GB2312" w:hAnsi="仿宋_GB2312" w:eastAsia="仿宋_GB2312" w:cs="仿宋_GB2312"/>
                <w:sz w:val="24"/>
                <w:szCs w:val="24"/>
                <w:highlight w:val="none"/>
                <w:lang w:val="en-US" w:eastAsia="zh-CN"/>
              </w:rPr>
              <w:t>深化</w:t>
            </w:r>
            <w:r>
              <w:rPr>
                <w:rFonts w:hint="eastAsia" w:ascii="仿宋_GB2312" w:hAnsi="仿宋_GB2312" w:eastAsia="仿宋_GB2312" w:cs="仿宋_GB2312"/>
                <w:sz w:val="24"/>
                <w:szCs w:val="24"/>
                <w:highlight w:val="none"/>
              </w:rPr>
              <w:t>碳普惠机制</w:t>
            </w:r>
          </w:p>
        </w:tc>
        <w:tc>
          <w:tcPr>
            <w:tcW w:w="2820" w:type="pct"/>
            <w:vAlign w:val="center"/>
          </w:tcPr>
          <w:p w14:paraId="18BBFE0A">
            <w:pPr>
              <w:spacing w:line="300" w:lineRule="exact"/>
              <w:jc w:val="left"/>
              <w:rPr>
                <w:rFonts w:hint="eastAsia" w:ascii="仿宋_GB2312" w:hAnsi="仿宋_GB2312" w:eastAsia="仿宋_GB2312" w:cs="仿宋_GB2312"/>
                <w:kern w:val="2"/>
                <w:sz w:val="24"/>
                <w:szCs w:val="24"/>
                <w:highlight w:val="none"/>
                <w:lang w:val="en-US" w:eastAsia="zh-CN" w:bidi="ar-SA"/>
              </w:rPr>
            </w:pPr>
            <w:r>
              <w:rPr>
                <w:rFonts w:hint="eastAsia" w:ascii="仿宋_GB2312" w:hAnsi="仿宋_GB2312" w:eastAsia="仿宋_GB2312" w:cs="仿宋_GB2312"/>
                <w:sz w:val="24"/>
                <w:szCs w:val="24"/>
                <w:highlight w:val="none"/>
                <w:lang w:val="en-US" w:eastAsia="zh-CN"/>
              </w:rPr>
              <w:t>探索开发废旧金属回收利用、工业固废资源化处理、城市生活垃圾循环利用等场景的碳普惠方法学。</w:t>
            </w:r>
          </w:p>
        </w:tc>
        <w:tc>
          <w:tcPr>
            <w:tcW w:w="793" w:type="pct"/>
            <w:vAlign w:val="center"/>
          </w:tcPr>
          <w:p w14:paraId="35EF77D8">
            <w:pPr>
              <w:spacing w:line="300" w:lineRule="exact"/>
              <w:jc w:val="center"/>
              <w:rPr>
                <w:rFonts w:hint="eastAsia" w:ascii="仿宋_GB2312" w:hAnsi="仿宋_GB2312" w:eastAsia="仿宋_GB2312" w:cs="仿宋_GB2312"/>
                <w:sz w:val="24"/>
                <w:szCs w:val="24"/>
                <w:highlight w:val="none"/>
                <w:lang w:val="en-US" w:eastAsia="zh-CN"/>
              </w:rPr>
            </w:pPr>
            <w:r>
              <w:rPr>
                <w:rFonts w:hint="eastAsia" w:ascii="仿宋_GB2312" w:hAnsi="仿宋_GB2312" w:eastAsia="仿宋_GB2312" w:cs="仿宋_GB2312"/>
                <w:sz w:val="24"/>
                <w:szCs w:val="24"/>
                <w:highlight w:val="none"/>
                <w:lang w:val="en-US" w:eastAsia="zh-CN"/>
              </w:rPr>
              <w:t>市</w:t>
            </w:r>
            <w:r>
              <w:rPr>
                <w:rFonts w:hint="eastAsia" w:ascii="仿宋_GB2312" w:hAnsi="仿宋_GB2312" w:eastAsia="仿宋_GB2312" w:cs="仿宋_GB2312"/>
                <w:sz w:val="24"/>
                <w:szCs w:val="24"/>
                <w:highlight w:val="none"/>
              </w:rPr>
              <w:t>生态环境</w:t>
            </w:r>
            <w:r>
              <w:rPr>
                <w:rFonts w:hint="eastAsia" w:ascii="仿宋_GB2312" w:hAnsi="仿宋_GB2312" w:eastAsia="仿宋_GB2312" w:cs="仿宋_GB2312"/>
                <w:sz w:val="24"/>
                <w:szCs w:val="24"/>
                <w:highlight w:val="none"/>
                <w:lang w:val="en-US" w:eastAsia="zh-CN"/>
              </w:rPr>
              <w:t>局、市政府办公室</w:t>
            </w:r>
          </w:p>
          <w:p w14:paraId="0D582B7A">
            <w:pPr>
              <w:widowControl w:val="0"/>
              <w:spacing w:after="120" w:afterAutospacing="0"/>
              <w:ind w:left="420" w:leftChars="200" w:firstLine="420" w:firstLineChars="200"/>
              <w:jc w:val="both"/>
              <w:rPr>
                <w:rFonts w:hint="eastAsia" w:ascii="Calibri" w:hAnsi="Calibri" w:eastAsia="宋体" w:cs="Times New Roman"/>
                <w:kern w:val="2"/>
                <w:sz w:val="21"/>
                <w:szCs w:val="24"/>
                <w:highlight w:val="none"/>
                <w:lang w:val="en-US" w:eastAsia="zh-CN" w:bidi="ar-SA"/>
              </w:rPr>
            </w:pPr>
          </w:p>
        </w:tc>
      </w:tr>
      <w:tr w14:paraId="2B8B4F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56" w:type="pct"/>
            <w:vMerge w:val="continue"/>
            <w:vAlign w:val="center"/>
          </w:tcPr>
          <w:p w14:paraId="218F8CBE">
            <w:pPr>
              <w:spacing w:line="290" w:lineRule="exact"/>
              <w:jc w:val="center"/>
              <w:rPr>
                <w:rFonts w:ascii="仿宋_GB2312" w:hAnsi="仿宋_GB2312" w:eastAsia="仿宋_GB2312" w:cs="仿宋_GB2312"/>
                <w:sz w:val="24"/>
                <w:szCs w:val="24"/>
                <w:highlight w:val="none"/>
              </w:rPr>
            </w:pPr>
          </w:p>
        </w:tc>
        <w:tc>
          <w:tcPr>
            <w:tcW w:w="291" w:type="pct"/>
            <w:vAlign w:val="center"/>
          </w:tcPr>
          <w:p w14:paraId="2E2BD7E2">
            <w:pPr>
              <w:numPr>
                <w:ilvl w:val="0"/>
                <w:numId w:val="5"/>
              </w:numPr>
              <w:spacing w:line="286" w:lineRule="exact"/>
              <w:ind w:left="425" w:leftChars="0" w:hanging="425" w:firstLineChars="0"/>
              <w:jc w:val="center"/>
              <w:rPr>
                <w:rFonts w:hint="eastAsia" w:ascii="仿宋_GB2312" w:hAnsi="仿宋_GB2312" w:eastAsia="仿宋_GB2312" w:cs="仿宋_GB2312"/>
                <w:sz w:val="24"/>
                <w:szCs w:val="24"/>
                <w:highlight w:val="none"/>
              </w:rPr>
            </w:pPr>
          </w:p>
        </w:tc>
        <w:tc>
          <w:tcPr>
            <w:tcW w:w="836" w:type="pct"/>
            <w:vAlign w:val="center"/>
          </w:tcPr>
          <w:p w14:paraId="59C45325">
            <w:pPr>
              <w:spacing w:line="290" w:lineRule="exact"/>
              <w:jc w:val="center"/>
              <w:rPr>
                <w:rFonts w:hint="default" w:ascii="仿宋_GB2312" w:hAnsi="仿宋_GB2312" w:eastAsia="仿宋_GB2312" w:cs="仿宋_GB2312"/>
                <w:sz w:val="24"/>
                <w:szCs w:val="24"/>
                <w:highlight w:val="none"/>
                <w:lang w:val="en-US" w:eastAsia="zh-CN"/>
              </w:rPr>
            </w:pPr>
            <w:r>
              <w:rPr>
                <w:rFonts w:hint="eastAsia" w:ascii="仿宋_GB2312" w:hAnsi="仿宋_GB2312" w:eastAsia="仿宋_GB2312" w:cs="仿宋_GB2312"/>
                <w:sz w:val="24"/>
                <w:szCs w:val="24"/>
                <w:highlight w:val="none"/>
                <w:lang w:val="en-US" w:eastAsia="zh-CN"/>
              </w:rPr>
              <w:t>工业遗产活化利用政策</w:t>
            </w:r>
          </w:p>
        </w:tc>
        <w:tc>
          <w:tcPr>
            <w:tcW w:w="2820" w:type="pct"/>
            <w:vAlign w:val="center"/>
          </w:tcPr>
          <w:p w14:paraId="72681114">
            <w:pPr>
              <w:widowControl/>
              <w:spacing w:line="240" w:lineRule="auto"/>
              <w:jc w:val="left"/>
              <w:rPr>
                <w:rFonts w:hint="eastAsia" w:ascii="仿宋_GB2312" w:hAnsi="仿宋_GB2312" w:eastAsia="仿宋_GB2312" w:cs="仿宋_GB2312"/>
                <w:sz w:val="24"/>
                <w:szCs w:val="24"/>
                <w:highlight w:val="none"/>
                <w:lang w:eastAsia="zh-CN"/>
              </w:rPr>
            </w:pPr>
            <w:r>
              <w:rPr>
                <w:rFonts w:hint="eastAsia" w:ascii="仿宋_GB2312" w:hAnsi="仿宋_GB2312" w:eastAsia="仿宋_GB2312" w:cs="仿宋_GB2312"/>
                <w:sz w:val="24"/>
                <w:szCs w:val="24"/>
                <w:highlight w:val="none"/>
                <w:lang w:eastAsia="zh-CN"/>
              </w:rPr>
              <w:t>完成《黄石市工业遗产保护条例》修订，优化认定标准、保护要求和活化利用激励政策，巩固工业遗产立法优势。出台《黄石市历史文化街区和历史建筑保护利用管理办法》等配套文件，细化管理流程。</w:t>
            </w:r>
          </w:p>
        </w:tc>
        <w:tc>
          <w:tcPr>
            <w:tcW w:w="793" w:type="pct"/>
            <w:vAlign w:val="center"/>
          </w:tcPr>
          <w:p w14:paraId="66149D36">
            <w:pPr>
              <w:spacing w:line="290" w:lineRule="exact"/>
              <w:jc w:val="center"/>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市住房和城市更新局</w:t>
            </w:r>
          </w:p>
        </w:tc>
      </w:tr>
      <w:tr w14:paraId="08DCEE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56" w:type="pct"/>
            <w:vMerge w:val="continue"/>
            <w:vAlign w:val="center"/>
          </w:tcPr>
          <w:p w14:paraId="0FBDE662">
            <w:pPr>
              <w:spacing w:line="290" w:lineRule="exact"/>
              <w:jc w:val="center"/>
              <w:rPr>
                <w:rFonts w:ascii="仿宋_GB2312" w:hAnsi="仿宋_GB2312" w:eastAsia="仿宋_GB2312" w:cs="仿宋_GB2312"/>
                <w:sz w:val="24"/>
                <w:szCs w:val="24"/>
                <w:highlight w:val="none"/>
              </w:rPr>
            </w:pPr>
          </w:p>
        </w:tc>
        <w:tc>
          <w:tcPr>
            <w:tcW w:w="291" w:type="pct"/>
            <w:vAlign w:val="center"/>
          </w:tcPr>
          <w:p w14:paraId="4D86E72C">
            <w:pPr>
              <w:numPr>
                <w:ilvl w:val="0"/>
                <w:numId w:val="5"/>
              </w:numPr>
              <w:spacing w:line="286" w:lineRule="exact"/>
              <w:ind w:left="425" w:leftChars="0" w:hanging="425" w:firstLineChars="0"/>
              <w:jc w:val="center"/>
              <w:rPr>
                <w:rFonts w:hint="eastAsia" w:ascii="仿宋_GB2312" w:hAnsi="仿宋_GB2312" w:eastAsia="仿宋_GB2312" w:cs="仿宋_GB2312"/>
                <w:sz w:val="24"/>
                <w:szCs w:val="24"/>
                <w:highlight w:val="none"/>
                <w:lang w:val="en-US" w:eastAsia="zh-CN"/>
              </w:rPr>
            </w:pPr>
          </w:p>
        </w:tc>
        <w:tc>
          <w:tcPr>
            <w:tcW w:w="836" w:type="pct"/>
            <w:vAlign w:val="center"/>
          </w:tcPr>
          <w:p w14:paraId="3536E677">
            <w:pPr>
              <w:spacing w:line="290" w:lineRule="exact"/>
              <w:jc w:val="center"/>
              <w:rPr>
                <w:rFonts w:hint="default" w:ascii="仿宋_GB2312" w:hAnsi="仿宋_GB2312" w:eastAsia="仿宋_GB2312" w:cs="仿宋_GB2312"/>
                <w:sz w:val="24"/>
                <w:szCs w:val="24"/>
                <w:highlight w:val="none"/>
                <w:lang w:val="en-US" w:eastAsia="zh-CN"/>
              </w:rPr>
            </w:pPr>
            <w:r>
              <w:rPr>
                <w:rFonts w:hint="eastAsia" w:ascii="仿宋_GB2312" w:hAnsi="仿宋_GB2312" w:eastAsia="仿宋_GB2312" w:cs="仿宋_GB2312"/>
                <w:sz w:val="24"/>
                <w:szCs w:val="24"/>
                <w:highlight w:val="none"/>
                <w:lang w:val="en-US" w:eastAsia="zh-CN"/>
              </w:rPr>
              <w:t>争取美丽城市建设投融资资金支持</w:t>
            </w:r>
          </w:p>
        </w:tc>
        <w:tc>
          <w:tcPr>
            <w:tcW w:w="2820" w:type="pct"/>
            <w:vAlign w:val="center"/>
          </w:tcPr>
          <w:p w14:paraId="2F129818">
            <w:pPr>
              <w:spacing w:line="290" w:lineRule="exact"/>
              <w:jc w:val="left"/>
              <w:rPr>
                <w:rFonts w:hint="eastAsia" w:ascii="仿宋_GB2312" w:hAnsi="仿宋_GB2312" w:eastAsia="仿宋_GB2312" w:cs="仿宋_GB2312"/>
                <w:sz w:val="24"/>
                <w:szCs w:val="24"/>
                <w:highlight w:val="none"/>
                <w:lang w:eastAsia="zh-CN"/>
              </w:rPr>
            </w:pPr>
            <w:r>
              <w:rPr>
                <w:rFonts w:hint="eastAsia" w:ascii="仿宋_GB2312" w:hAnsi="仿宋_GB2312" w:eastAsia="仿宋_GB2312" w:cs="仿宋_GB2312"/>
                <w:sz w:val="24"/>
                <w:szCs w:val="24"/>
                <w:highlight w:val="none"/>
                <w:lang w:eastAsia="zh-CN"/>
              </w:rPr>
              <w:t>统筹谋划一批绿色</w:t>
            </w:r>
            <w:r>
              <w:rPr>
                <w:rFonts w:hint="eastAsia" w:ascii="仿宋_GB2312" w:hAnsi="仿宋_GB2312" w:eastAsia="仿宋_GB2312" w:cs="仿宋_GB2312"/>
                <w:sz w:val="24"/>
                <w:szCs w:val="24"/>
                <w:highlight w:val="none"/>
                <w:lang w:val="en-US" w:eastAsia="zh-CN"/>
              </w:rPr>
              <w:t>低碳循环</w:t>
            </w:r>
            <w:r>
              <w:rPr>
                <w:rFonts w:hint="eastAsia" w:ascii="仿宋_GB2312" w:hAnsi="仿宋_GB2312" w:eastAsia="仿宋_GB2312" w:cs="仿宋_GB2312"/>
                <w:sz w:val="24"/>
                <w:szCs w:val="24"/>
                <w:highlight w:val="none"/>
                <w:lang w:eastAsia="zh-CN"/>
              </w:rPr>
              <w:t>、综合交通体系、</w:t>
            </w:r>
            <w:r>
              <w:rPr>
                <w:rFonts w:hint="eastAsia" w:ascii="仿宋_GB2312" w:hAnsi="仿宋_GB2312" w:eastAsia="仿宋_GB2312" w:cs="仿宋_GB2312"/>
                <w:sz w:val="24"/>
                <w:szCs w:val="24"/>
                <w:highlight w:val="none"/>
                <w:lang w:val="en-US" w:eastAsia="zh-CN"/>
              </w:rPr>
              <w:t>城市更新</w:t>
            </w:r>
            <w:r>
              <w:rPr>
                <w:rFonts w:hint="eastAsia" w:ascii="仿宋_GB2312" w:hAnsi="仿宋_GB2312" w:eastAsia="仿宋_GB2312" w:cs="仿宋_GB2312"/>
                <w:sz w:val="24"/>
                <w:szCs w:val="24"/>
                <w:highlight w:val="none"/>
                <w:lang w:eastAsia="zh-CN"/>
              </w:rPr>
              <w:t>、</w:t>
            </w:r>
            <w:r>
              <w:rPr>
                <w:rFonts w:hint="eastAsia" w:ascii="仿宋_GB2312" w:hAnsi="仿宋_GB2312" w:eastAsia="仿宋_GB2312" w:cs="仿宋_GB2312"/>
                <w:sz w:val="24"/>
                <w:szCs w:val="24"/>
                <w:highlight w:val="none"/>
                <w:lang w:val="en-US" w:eastAsia="zh-CN"/>
              </w:rPr>
              <w:t>城市环境治理</w:t>
            </w:r>
            <w:r>
              <w:rPr>
                <w:rFonts w:hint="eastAsia" w:ascii="仿宋_GB2312" w:hAnsi="仿宋_GB2312" w:eastAsia="仿宋_GB2312" w:cs="仿宋_GB2312"/>
                <w:sz w:val="24"/>
                <w:szCs w:val="24"/>
                <w:highlight w:val="none"/>
                <w:lang w:eastAsia="zh-CN"/>
              </w:rPr>
              <w:t>、</w:t>
            </w:r>
            <w:r>
              <w:rPr>
                <w:rFonts w:hint="eastAsia" w:ascii="仿宋_GB2312" w:hAnsi="仿宋_GB2312" w:eastAsia="仿宋_GB2312" w:cs="仿宋_GB2312"/>
                <w:sz w:val="24"/>
                <w:szCs w:val="24"/>
                <w:highlight w:val="none"/>
              </w:rPr>
              <w:t>地下设施管网</w:t>
            </w:r>
            <w:r>
              <w:rPr>
                <w:rFonts w:hint="eastAsia" w:ascii="仿宋_GB2312" w:hAnsi="仿宋_GB2312" w:eastAsia="仿宋_GB2312" w:cs="仿宋_GB2312"/>
                <w:sz w:val="24"/>
                <w:szCs w:val="24"/>
                <w:highlight w:val="none"/>
                <w:lang w:eastAsia="zh-CN"/>
              </w:rPr>
              <w:t>等城市</w:t>
            </w:r>
            <w:r>
              <w:rPr>
                <w:rFonts w:hint="eastAsia" w:ascii="仿宋_GB2312" w:hAnsi="仿宋_GB2312" w:eastAsia="仿宋_GB2312" w:cs="仿宋_GB2312"/>
                <w:sz w:val="24"/>
                <w:szCs w:val="24"/>
                <w:highlight w:val="none"/>
                <w:lang w:val="en-US" w:eastAsia="zh-CN"/>
              </w:rPr>
              <w:t>领域</w:t>
            </w:r>
            <w:r>
              <w:rPr>
                <w:rFonts w:hint="eastAsia" w:ascii="仿宋_GB2312" w:hAnsi="仿宋_GB2312" w:eastAsia="仿宋_GB2312" w:cs="仿宋_GB2312"/>
                <w:sz w:val="24"/>
                <w:szCs w:val="24"/>
                <w:highlight w:val="none"/>
              </w:rPr>
              <w:t>重点项目</w:t>
            </w:r>
            <w:r>
              <w:rPr>
                <w:rFonts w:hint="eastAsia" w:ascii="仿宋_GB2312" w:hAnsi="仿宋_GB2312" w:eastAsia="仿宋_GB2312" w:cs="仿宋_GB2312"/>
                <w:sz w:val="24"/>
                <w:szCs w:val="24"/>
                <w:highlight w:val="none"/>
                <w:lang w:eastAsia="zh-CN"/>
              </w:rPr>
              <w:t>，积极争取中央及省生态环境资金支持。鼓励和引导社会资本参与美丽城市建设，拓宽投融资渠道。</w:t>
            </w:r>
          </w:p>
        </w:tc>
        <w:tc>
          <w:tcPr>
            <w:tcW w:w="793" w:type="pct"/>
            <w:vAlign w:val="center"/>
          </w:tcPr>
          <w:p w14:paraId="631AD0B9">
            <w:pPr>
              <w:spacing w:line="290" w:lineRule="exact"/>
              <w:jc w:val="center"/>
              <w:rPr>
                <w:rFonts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市生态环境局</w:t>
            </w:r>
          </w:p>
        </w:tc>
      </w:tr>
      <w:tr w14:paraId="2BB3A5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56" w:type="pct"/>
            <w:vMerge w:val="restart"/>
            <w:vAlign w:val="center"/>
          </w:tcPr>
          <w:p w14:paraId="24FA2503">
            <w:pPr>
              <w:spacing w:line="300" w:lineRule="exact"/>
              <w:jc w:val="center"/>
              <w:rPr>
                <w:rFonts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环境优美</w:t>
            </w:r>
          </w:p>
        </w:tc>
        <w:tc>
          <w:tcPr>
            <w:tcW w:w="291" w:type="pct"/>
            <w:vAlign w:val="center"/>
          </w:tcPr>
          <w:p w14:paraId="2718B5B7">
            <w:pPr>
              <w:numPr>
                <w:ilvl w:val="0"/>
                <w:numId w:val="5"/>
              </w:numPr>
              <w:spacing w:line="286" w:lineRule="exact"/>
              <w:ind w:left="425" w:leftChars="0" w:hanging="425" w:firstLineChars="0"/>
              <w:jc w:val="center"/>
              <w:rPr>
                <w:rFonts w:ascii="仿宋_GB2312" w:hAnsi="仿宋_GB2312" w:eastAsia="仿宋_GB2312" w:cs="仿宋_GB2312"/>
                <w:sz w:val="24"/>
                <w:szCs w:val="24"/>
                <w:highlight w:val="none"/>
              </w:rPr>
            </w:pPr>
          </w:p>
        </w:tc>
        <w:tc>
          <w:tcPr>
            <w:tcW w:w="836" w:type="pct"/>
            <w:vMerge w:val="restart"/>
            <w:vAlign w:val="center"/>
          </w:tcPr>
          <w:p w14:paraId="2D4E43A4">
            <w:pPr>
              <w:spacing w:line="300" w:lineRule="exact"/>
              <w:jc w:val="center"/>
              <w:rPr>
                <w:rFonts w:hint="eastAsia" w:ascii="仿宋_GB2312" w:hAnsi="仿宋_GB2312" w:eastAsia="仿宋_GB2312" w:cs="仿宋_GB2312"/>
                <w:sz w:val="24"/>
                <w:szCs w:val="24"/>
                <w:highlight w:val="none"/>
                <w:lang w:val="en-US" w:eastAsia="zh-CN"/>
              </w:rPr>
            </w:pPr>
            <w:r>
              <w:rPr>
                <w:rFonts w:hint="eastAsia" w:ascii="仿宋_GB2312" w:hAnsi="仿宋_GB2312" w:eastAsia="仿宋_GB2312" w:cs="仿宋_GB2312"/>
                <w:sz w:val="24"/>
                <w:szCs w:val="24"/>
                <w:highlight w:val="none"/>
              </w:rPr>
              <w:t>大气污染防治</w:t>
            </w:r>
            <w:r>
              <w:rPr>
                <w:rFonts w:hint="eastAsia" w:ascii="仿宋_GB2312" w:hAnsi="仿宋_GB2312" w:eastAsia="仿宋_GB2312" w:cs="仿宋_GB2312"/>
                <w:sz w:val="24"/>
                <w:szCs w:val="24"/>
                <w:highlight w:val="none"/>
                <w:lang w:val="en-US" w:eastAsia="zh-CN"/>
              </w:rPr>
              <w:t>攻坚</w:t>
            </w:r>
          </w:p>
        </w:tc>
        <w:tc>
          <w:tcPr>
            <w:tcW w:w="2820" w:type="pct"/>
            <w:vAlign w:val="center"/>
          </w:tcPr>
          <w:p w14:paraId="003AA7F2">
            <w:pPr>
              <w:spacing w:line="300" w:lineRule="exact"/>
              <w:jc w:val="left"/>
              <w:rPr>
                <w:rFonts w:hint="eastAsia" w:ascii="仿宋_GB2312" w:hAnsi="仿宋_GB2312" w:eastAsia="仿宋_GB2312" w:cs="仿宋_GB2312"/>
                <w:sz w:val="24"/>
                <w:szCs w:val="24"/>
                <w:highlight w:val="none"/>
                <w:lang w:eastAsia="zh-CN"/>
              </w:rPr>
            </w:pPr>
            <w:r>
              <w:rPr>
                <w:rFonts w:hint="eastAsia" w:ascii="仿宋_GB2312" w:hAnsi="仿宋_GB2312" w:eastAsia="仿宋_GB2312" w:cs="仿宋_GB2312"/>
                <w:sz w:val="24"/>
                <w:szCs w:val="24"/>
                <w:highlight w:val="none"/>
                <w:lang w:val="en-US" w:eastAsia="zh-CN"/>
              </w:rPr>
              <w:t>制定黄石市</w:t>
            </w:r>
            <w:r>
              <w:rPr>
                <w:rFonts w:hint="eastAsia" w:ascii="仿宋_GB2312" w:hAnsi="仿宋_GB2312" w:eastAsia="仿宋_GB2312" w:cs="仿宋_GB2312"/>
                <w:sz w:val="24"/>
                <w:szCs w:val="24"/>
                <w:highlight w:val="none"/>
              </w:rPr>
              <w:t>大气污染防治三年攻坚行动方案</w:t>
            </w:r>
            <w:r>
              <w:rPr>
                <w:rFonts w:hint="eastAsia" w:ascii="仿宋_GB2312" w:hAnsi="仿宋_GB2312" w:eastAsia="仿宋_GB2312" w:cs="仿宋_GB2312"/>
                <w:sz w:val="24"/>
                <w:szCs w:val="24"/>
                <w:highlight w:val="none"/>
                <w:lang w:eastAsia="zh-CN"/>
              </w:rPr>
              <w:t>、</w:t>
            </w:r>
            <w:r>
              <w:rPr>
                <w:rFonts w:hint="eastAsia" w:ascii="仿宋_GB2312" w:hAnsi="仿宋_GB2312" w:eastAsia="仿宋_GB2312" w:cs="仿宋_GB2312"/>
                <w:sz w:val="24"/>
                <w:szCs w:val="24"/>
                <w:highlight w:val="none"/>
                <w:lang w:val="en-US" w:eastAsia="zh-CN"/>
              </w:rPr>
              <w:t>黄石市空气质量达标计划</w:t>
            </w:r>
            <w:r>
              <w:rPr>
                <w:rFonts w:hint="eastAsia" w:ascii="仿宋_GB2312" w:hAnsi="仿宋_GB2312" w:eastAsia="仿宋_GB2312" w:cs="仿宋_GB2312"/>
                <w:sz w:val="24"/>
                <w:szCs w:val="24"/>
                <w:highlight w:val="none"/>
              </w:rPr>
              <w:t>。以持续降低PM</w:t>
            </w:r>
            <w:r>
              <w:rPr>
                <w:rFonts w:hint="eastAsia" w:ascii="仿宋_GB2312" w:hAnsi="仿宋_GB2312" w:eastAsia="仿宋_GB2312" w:cs="仿宋_GB2312"/>
                <w:sz w:val="24"/>
                <w:szCs w:val="24"/>
                <w:highlight w:val="none"/>
                <w:vertAlign w:val="subscript"/>
                <w:lang w:val="en-US" w:eastAsia="zh-CN"/>
              </w:rPr>
              <w:t>2.5</w:t>
            </w:r>
            <w:r>
              <w:rPr>
                <w:rFonts w:hint="eastAsia" w:ascii="仿宋_GB2312" w:hAnsi="仿宋_GB2312" w:eastAsia="仿宋_GB2312" w:cs="仿宋_GB2312"/>
                <w:sz w:val="24"/>
                <w:szCs w:val="24"/>
                <w:highlight w:val="none"/>
              </w:rPr>
              <w:t>为主线加快推动</w:t>
            </w:r>
            <w:r>
              <w:rPr>
                <w:rFonts w:hint="eastAsia" w:ascii="仿宋_GB2312" w:hAnsi="仿宋_GB2312" w:eastAsia="仿宋_GB2312" w:cs="仿宋_GB2312"/>
                <w:sz w:val="24"/>
                <w:szCs w:val="24"/>
                <w:highlight w:val="none"/>
                <w:lang w:val="en-US" w:eastAsia="zh-CN"/>
              </w:rPr>
              <w:t>全市</w:t>
            </w:r>
            <w:r>
              <w:rPr>
                <w:rFonts w:hint="eastAsia" w:ascii="仿宋_GB2312" w:hAnsi="仿宋_GB2312" w:eastAsia="仿宋_GB2312" w:cs="仿宋_GB2312"/>
                <w:sz w:val="24"/>
                <w:szCs w:val="24"/>
                <w:highlight w:val="none"/>
              </w:rPr>
              <w:t>空气质量稳定改善</w:t>
            </w:r>
            <w:r>
              <w:rPr>
                <w:rFonts w:hint="eastAsia" w:ascii="仿宋_GB2312" w:hAnsi="仿宋_GB2312" w:eastAsia="仿宋_GB2312" w:cs="仿宋_GB2312"/>
                <w:sz w:val="24"/>
                <w:szCs w:val="24"/>
                <w:highlight w:val="none"/>
                <w:lang w:eastAsia="zh-CN"/>
              </w:rPr>
              <w:t>。完善应急减排清单，确保涉气企业全覆盖，将应急减排措施纳入排污许可证管理。</w:t>
            </w:r>
          </w:p>
        </w:tc>
        <w:tc>
          <w:tcPr>
            <w:tcW w:w="793" w:type="pct"/>
            <w:vAlign w:val="center"/>
          </w:tcPr>
          <w:p w14:paraId="25E72C6B">
            <w:pPr>
              <w:spacing w:line="300" w:lineRule="exact"/>
              <w:jc w:val="center"/>
              <w:rPr>
                <w:rFonts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市生态环境局</w:t>
            </w:r>
          </w:p>
        </w:tc>
      </w:tr>
      <w:tr w14:paraId="318959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56" w:type="pct"/>
            <w:vMerge w:val="continue"/>
            <w:vAlign w:val="center"/>
          </w:tcPr>
          <w:p w14:paraId="5410934F">
            <w:pPr>
              <w:spacing w:line="300" w:lineRule="exact"/>
              <w:jc w:val="center"/>
              <w:rPr>
                <w:rFonts w:hint="eastAsia" w:ascii="仿宋_GB2312" w:hAnsi="仿宋_GB2312" w:eastAsia="仿宋_GB2312" w:cs="仿宋_GB2312"/>
                <w:sz w:val="24"/>
                <w:szCs w:val="24"/>
                <w:highlight w:val="none"/>
              </w:rPr>
            </w:pPr>
          </w:p>
        </w:tc>
        <w:tc>
          <w:tcPr>
            <w:tcW w:w="291" w:type="pct"/>
            <w:vAlign w:val="center"/>
          </w:tcPr>
          <w:p w14:paraId="2738ACE5">
            <w:pPr>
              <w:numPr>
                <w:ilvl w:val="0"/>
                <w:numId w:val="5"/>
              </w:numPr>
              <w:spacing w:line="286" w:lineRule="exact"/>
              <w:ind w:left="425" w:leftChars="0" w:hanging="425" w:firstLineChars="0"/>
              <w:jc w:val="center"/>
              <w:rPr>
                <w:rFonts w:ascii="仿宋_GB2312" w:hAnsi="仿宋_GB2312" w:eastAsia="仿宋_GB2312" w:cs="仿宋_GB2312"/>
                <w:sz w:val="24"/>
                <w:szCs w:val="24"/>
                <w:highlight w:val="none"/>
              </w:rPr>
            </w:pPr>
          </w:p>
        </w:tc>
        <w:tc>
          <w:tcPr>
            <w:tcW w:w="836" w:type="pct"/>
            <w:vMerge w:val="continue"/>
            <w:vAlign w:val="center"/>
          </w:tcPr>
          <w:p w14:paraId="572710A4">
            <w:pPr>
              <w:spacing w:line="300" w:lineRule="exact"/>
              <w:jc w:val="center"/>
              <w:rPr>
                <w:rFonts w:ascii="仿宋_GB2312" w:hAnsi="仿宋_GB2312" w:eastAsia="仿宋_GB2312" w:cs="仿宋_GB2312"/>
                <w:sz w:val="24"/>
                <w:szCs w:val="24"/>
                <w:highlight w:val="none"/>
              </w:rPr>
            </w:pPr>
          </w:p>
        </w:tc>
        <w:tc>
          <w:tcPr>
            <w:tcW w:w="2820" w:type="pct"/>
            <w:vAlign w:val="center"/>
          </w:tcPr>
          <w:p w14:paraId="74D79E31">
            <w:pPr>
              <w:spacing w:line="290" w:lineRule="exact"/>
              <w:jc w:val="left"/>
              <w:rPr>
                <w:rFonts w:hint="eastAsia" w:ascii="仿宋_GB2312" w:hAnsi="仿宋_GB2312" w:eastAsia="仿宋_GB2312" w:cs="仿宋_GB2312"/>
                <w:kern w:val="2"/>
                <w:sz w:val="24"/>
                <w:szCs w:val="24"/>
                <w:highlight w:val="none"/>
                <w:lang w:val="en-US" w:eastAsia="zh-CN" w:bidi="ar-SA"/>
              </w:rPr>
            </w:pPr>
            <w:r>
              <w:rPr>
                <w:rFonts w:hint="eastAsia" w:ascii="仿宋_GB2312" w:hAnsi="仿宋_GB2312" w:eastAsia="仿宋_GB2312" w:cs="仿宋_GB2312"/>
                <w:sz w:val="24"/>
                <w:szCs w:val="24"/>
                <w:highlight w:val="none"/>
              </w:rPr>
              <w:t>探索制定本市优势行业碳足迹团体标准，开展优势产业链主企业碳足迹核算报告试点。</w:t>
            </w:r>
          </w:p>
        </w:tc>
        <w:tc>
          <w:tcPr>
            <w:tcW w:w="793" w:type="pct"/>
            <w:vAlign w:val="center"/>
          </w:tcPr>
          <w:p w14:paraId="566D0A05">
            <w:pPr>
              <w:spacing w:line="290" w:lineRule="exact"/>
              <w:jc w:val="center"/>
              <w:rPr>
                <w:rFonts w:hint="eastAsia" w:ascii="仿宋_GB2312" w:hAnsi="仿宋_GB2312" w:eastAsia="仿宋_GB2312" w:cs="仿宋_GB2312"/>
                <w:kern w:val="2"/>
                <w:sz w:val="24"/>
                <w:szCs w:val="24"/>
                <w:highlight w:val="none"/>
                <w:lang w:val="en-US" w:eastAsia="zh-CN" w:bidi="ar-SA"/>
              </w:rPr>
            </w:pPr>
            <w:r>
              <w:rPr>
                <w:rFonts w:hint="eastAsia" w:ascii="仿宋_GB2312" w:hAnsi="仿宋_GB2312" w:eastAsia="仿宋_GB2312" w:cs="仿宋_GB2312"/>
                <w:sz w:val="24"/>
                <w:szCs w:val="24"/>
                <w:highlight w:val="none"/>
              </w:rPr>
              <w:t>市生态环境局</w:t>
            </w:r>
            <w:r>
              <w:rPr>
                <w:rFonts w:hint="eastAsia" w:ascii="仿宋_GB2312" w:hAnsi="仿宋_GB2312" w:eastAsia="仿宋_GB2312" w:cs="仿宋_GB2312"/>
                <w:sz w:val="24"/>
                <w:szCs w:val="24"/>
                <w:highlight w:val="none"/>
                <w:lang w:eastAsia="zh-CN"/>
              </w:rPr>
              <w:t>、</w:t>
            </w:r>
            <w:r>
              <w:rPr>
                <w:rFonts w:hint="eastAsia" w:ascii="仿宋_GB2312" w:hAnsi="仿宋_GB2312" w:eastAsia="仿宋_GB2312" w:cs="仿宋_GB2312"/>
                <w:sz w:val="24"/>
                <w:szCs w:val="24"/>
                <w:highlight w:val="none"/>
              </w:rPr>
              <w:t>市经信局</w:t>
            </w:r>
          </w:p>
        </w:tc>
      </w:tr>
      <w:tr w14:paraId="7178C7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56" w:type="pct"/>
            <w:vMerge w:val="continue"/>
            <w:vAlign w:val="center"/>
          </w:tcPr>
          <w:p w14:paraId="780CD79F">
            <w:pPr>
              <w:spacing w:line="300" w:lineRule="exact"/>
              <w:jc w:val="center"/>
              <w:rPr>
                <w:rFonts w:ascii="仿宋_GB2312" w:hAnsi="仿宋_GB2312" w:eastAsia="仿宋_GB2312" w:cs="仿宋_GB2312"/>
                <w:sz w:val="24"/>
                <w:szCs w:val="24"/>
                <w:highlight w:val="none"/>
              </w:rPr>
            </w:pPr>
          </w:p>
        </w:tc>
        <w:tc>
          <w:tcPr>
            <w:tcW w:w="291" w:type="pct"/>
            <w:vAlign w:val="center"/>
          </w:tcPr>
          <w:p w14:paraId="525FD386">
            <w:pPr>
              <w:numPr>
                <w:ilvl w:val="0"/>
                <w:numId w:val="5"/>
              </w:numPr>
              <w:spacing w:line="286" w:lineRule="exact"/>
              <w:ind w:left="425" w:leftChars="0" w:hanging="425" w:firstLineChars="0"/>
              <w:jc w:val="center"/>
              <w:rPr>
                <w:rFonts w:ascii="仿宋_GB2312" w:hAnsi="仿宋_GB2312" w:eastAsia="仿宋_GB2312" w:cs="仿宋_GB2312"/>
                <w:sz w:val="24"/>
                <w:szCs w:val="24"/>
                <w:highlight w:val="none"/>
              </w:rPr>
            </w:pPr>
          </w:p>
        </w:tc>
        <w:tc>
          <w:tcPr>
            <w:tcW w:w="836" w:type="pct"/>
            <w:vAlign w:val="center"/>
          </w:tcPr>
          <w:p w14:paraId="1608EA6D">
            <w:pPr>
              <w:spacing w:line="300" w:lineRule="exact"/>
              <w:jc w:val="center"/>
              <w:rPr>
                <w:rFonts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城市精细化治理</w:t>
            </w:r>
          </w:p>
        </w:tc>
        <w:tc>
          <w:tcPr>
            <w:tcW w:w="2820" w:type="pct"/>
            <w:vAlign w:val="center"/>
          </w:tcPr>
          <w:p w14:paraId="4D6D77BE">
            <w:pPr>
              <w:spacing w:line="300" w:lineRule="exact"/>
              <w:jc w:val="left"/>
              <w:rPr>
                <w:rFonts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紧扣“平、明、绿、美、净、齐、畅、宁”，深化精细化管理成效。健全“一委一办一平台”工作体系，开展环境卫生精细化管理、园林绿化管养提质、市政设施维护等一系列专项整治行动。</w:t>
            </w:r>
          </w:p>
        </w:tc>
        <w:tc>
          <w:tcPr>
            <w:tcW w:w="793" w:type="pct"/>
            <w:vAlign w:val="center"/>
          </w:tcPr>
          <w:p w14:paraId="2686E527">
            <w:pPr>
              <w:spacing w:line="300" w:lineRule="exact"/>
              <w:jc w:val="center"/>
              <w:rPr>
                <w:rFonts w:hint="default" w:ascii="仿宋_GB2312" w:hAnsi="仿宋_GB2312" w:eastAsia="仿宋_GB2312" w:cs="仿宋_GB2312"/>
                <w:sz w:val="24"/>
                <w:szCs w:val="24"/>
                <w:highlight w:val="none"/>
                <w:lang w:val="en-US" w:eastAsia="zh-CN"/>
              </w:rPr>
            </w:pPr>
            <w:r>
              <w:rPr>
                <w:rFonts w:hint="eastAsia" w:ascii="仿宋_GB2312" w:hAnsi="仿宋_GB2312" w:eastAsia="仿宋_GB2312" w:cs="仿宋_GB2312"/>
                <w:sz w:val="24"/>
                <w:szCs w:val="24"/>
                <w:highlight w:val="none"/>
                <w:lang w:val="en-US" w:eastAsia="zh-CN"/>
              </w:rPr>
              <w:t>市城管委、市公安局、</w:t>
            </w:r>
            <w:r>
              <w:rPr>
                <w:rFonts w:hint="eastAsia" w:ascii="仿宋_GB2312" w:hAnsi="仿宋_GB2312" w:eastAsia="仿宋_GB2312" w:cs="仿宋_GB2312"/>
                <w:sz w:val="24"/>
                <w:szCs w:val="24"/>
                <w:highlight w:val="none"/>
              </w:rPr>
              <w:t>市住房和城市更新局</w:t>
            </w:r>
          </w:p>
        </w:tc>
      </w:tr>
      <w:tr w14:paraId="7E85C3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56" w:type="pct"/>
            <w:vMerge w:val="continue"/>
            <w:vAlign w:val="center"/>
          </w:tcPr>
          <w:p w14:paraId="6BD4994B">
            <w:pPr>
              <w:spacing w:line="300" w:lineRule="exact"/>
              <w:jc w:val="center"/>
              <w:rPr>
                <w:rFonts w:ascii="仿宋_GB2312" w:hAnsi="仿宋_GB2312" w:eastAsia="仿宋_GB2312" w:cs="仿宋_GB2312"/>
                <w:sz w:val="24"/>
                <w:szCs w:val="24"/>
                <w:highlight w:val="none"/>
              </w:rPr>
            </w:pPr>
          </w:p>
        </w:tc>
        <w:tc>
          <w:tcPr>
            <w:tcW w:w="291" w:type="pct"/>
            <w:vAlign w:val="center"/>
          </w:tcPr>
          <w:p w14:paraId="4B290282">
            <w:pPr>
              <w:numPr>
                <w:ilvl w:val="0"/>
                <w:numId w:val="5"/>
              </w:numPr>
              <w:spacing w:line="286" w:lineRule="exact"/>
              <w:ind w:left="425" w:leftChars="0" w:hanging="425" w:firstLineChars="0"/>
              <w:jc w:val="center"/>
              <w:rPr>
                <w:rFonts w:ascii="仿宋_GB2312" w:hAnsi="仿宋_GB2312" w:eastAsia="仿宋_GB2312" w:cs="仿宋_GB2312"/>
                <w:sz w:val="24"/>
                <w:szCs w:val="24"/>
                <w:highlight w:val="none"/>
              </w:rPr>
            </w:pPr>
          </w:p>
        </w:tc>
        <w:tc>
          <w:tcPr>
            <w:tcW w:w="836" w:type="pct"/>
            <w:vAlign w:val="center"/>
          </w:tcPr>
          <w:p w14:paraId="265F899F">
            <w:pPr>
              <w:spacing w:line="300" w:lineRule="exact"/>
              <w:jc w:val="center"/>
              <w:rPr>
                <w:rFonts w:hint="default" w:ascii="仿宋_GB2312" w:hAnsi="仿宋_GB2312" w:eastAsia="仿宋_GB2312" w:cs="仿宋_GB2312"/>
                <w:sz w:val="24"/>
                <w:szCs w:val="24"/>
                <w:highlight w:val="none"/>
                <w:lang w:val="en-US" w:eastAsia="zh-CN"/>
              </w:rPr>
            </w:pPr>
            <w:r>
              <w:rPr>
                <w:rFonts w:hint="eastAsia" w:ascii="仿宋_GB2312" w:hAnsi="仿宋_GB2312" w:eastAsia="仿宋_GB2312" w:cs="仿宋_GB2312"/>
                <w:sz w:val="24"/>
                <w:szCs w:val="24"/>
                <w:highlight w:val="none"/>
                <w:lang w:val="en-US" w:eastAsia="zh-CN"/>
              </w:rPr>
              <w:t>城市园林绿化精细化管养</w:t>
            </w:r>
          </w:p>
        </w:tc>
        <w:tc>
          <w:tcPr>
            <w:tcW w:w="2820" w:type="pct"/>
            <w:vAlign w:val="center"/>
          </w:tcPr>
          <w:p w14:paraId="5B484885">
            <w:pPr>
              <w:spacing w:line="300" w:lineRule="exact"/>
              <w:jc w:val="left"/>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围绕城市园林绿化日常管理及养护、季节性养护重点等工作，</w:t>
            </w:r>
            <w:r>
              <w:rPr>
                <w:rFonts w:hint="eastAsia" w:ascii="仿宋_GB2312" w:hAnsi="仿宋_GB2312" w:eastAsia="仿宋_GB2312" w:cs="仿宋_GB2312"/>
                <w:sz w:val="24"/>
                <w:szCs w:val="24"/>
                <w:highlight w:val="none"/>
                <w:lang w:val="en-US" w:eastAsia="zh-CN"/>
              </w:rPr>
              <w:t>按照《黄石城市园林绿化养护巡查评价方案（试行）》，实行“互推、互检、互评”工作机制，通过选树标杆典型、上下联动巡查、定期现场互评、系统交流互学，推动园林绿化管理透明化、高效化、精细化</w:t>
            </w:r>
            <w:r>
              <w:rPr>
                <w:rFonts w:hint="eastAsia" w:ascii="仿宋_GB2312" w:hAnsi="仿宋_GB2312" w:eastAsia="仿宋_GB2312" w:cs="仿宋_GB2312"/>
                <w:sz w:val="24"/>
                <w:szCs w:val="24"/>
                <w:highlight w:val="none"/>
              </w:rPr>
              <w:t>。</w:t>
            </w:r>
          </w:p>
        </w:tc>
        <w:tc>
          <w:tcPr>
            <w:tcW w:w="793" w:type="pct"/>
            <w:vAlign w:val="center"/>
          </w:tcPr>
          <w:p w14:paraId="5482F2CA">
            <w:pPr>
              <w:spacing w:line="300" w:lineRule="exact"/>
              <w:jc w:val="center"/>
              <w:rPr>
                <w:rFonts w:hint="eastAsia" w:ascii="仿宋_GB2312" w:hAnsi="仿宋_GB2312" w:eastAsia="仿宋_GB2312" w:cs="仿宋_GB2312"/>
                <w:sz w:val="24"/>
                <w:szCs w:val="24"/>
                <w:highlight w:val="none"/>
                <w:lang w:val="en-US" w:eastAsia="zh-CN"/>
              </w:rPr>
            </w:pPr>
            <w:r>
              <w:rPr>
                <w:rFonts w:hint="eastAsia" w:ascii="仿宋_GB2312" w:hAnsi="仿宋_GB2312" w:eastAsia="仿宋_GB2312" w:cs="仿宋_GB2312"/>
                <w:sz w:val="24"/>
                <w:szCs w:val="24"/>
                <w:highlight w:val="none"/>
                <w:lang w:val="en-US" w:eastAsia="zh-CN"/>
              </w:rPr>
              <w:t>市园林事业发展中心</w:t>
            </w:r>
          </w:p>
        </w:tc>
      </w:tr>
      <w:tr w14:paraId="33F99D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256" w:type="pct"/>
            <w:vMerge w:val="continue"/>
            <w:vAlign w:val="center"/>
          </w:tcPr>
          <w:p w14:paraId="1C36FE43">
            <w:pPr>
              <w:spacing w:line="300" w:lineRule="exact"/>
              <w:jc w:val="center"/>
              <w:rPr>
                <w:rFonts w:ascii="仿宋_GB2312" w:hAnsi="仿宋_GB2312" w:eastAsia="仿宋_GB2312" w:cs="仿宋_GB2312"/>
                <w:sz w:val="24"/>
                <w:szCs w:val="24"/>
                <w:highlight w:val="none"/>
              </w:rPr>
            </w:pPr>
          </w:p>
        </w:tc>
        <w:tc>
          <w:tcPr>
            <w:tcW w:w="291" w:type="pct"/>
            <w:vAlign w:val="center"/>
          </w:tcPr>
          <w:p w14:paraId="1454CEAA">
            <w:pPr>
              <w:numPr>
                <w:ilvl w:val="0"/>
                <w:numId w:val="5"/>
              </w:numPr>
              <w:spacing w:line="286" w:lineRule="exact"/>
              <w:ind w:left="425" w:leftChars="0" w:hanging="425" w:firstLineChars="0"/>
              <w:jc w:val="center"/>
              <w:rPr>
                <w:rFonts w:ascii="仿宋_GB2312" w:hAnsi="仿宋_GB2312" w:eastAsia="仿宋_GB2312" w:cs="仿宋_GB2312"/>
                <w:sz w:val="24"/>
                <w:szCs w:val="24"/>
                <w:highlight w:val="none"/>
              </w:rPr>
            </w:pPr>
          </w:p>
        </w:tc>
        <w:tc>
          <w:tcPr>
            <w:tcW w:w="836" w:type="pct"/>
            <w:vAlign w:val="center"/>
          </w:tcPr>
          <w:p w14:paraId="7679C270">
            <w:pPr>
              <w:spacing w:line="300" w:lineRule="exact"/>
              <w:jc w:val="center"/>
              <w:rPr>
                <w:rFonts w:ascii="仿宋_GB2312" w:hAnsi="仿宋_GB2312" w:eastAsia="仿宋_GB2312" w:cs="仿宋_GB2312"/>
                <w:kern w:val="2"/>
                <w:sz w:val="24"/>
                <w:szCs w:val="24"/>
                <w:highlight w:val="none"/>
                <w:lang w:val="en-US" w:eastAsia="zh-CN" w:bidi="ar-SA"/>
              </w:rPr>
            </w:pPr>
            <w:r>
              <w:rPr>
                <w:rFonts w:hint="eastAsia" w:ascii="仿宋_GB2312" w:hAnsi="仿宋_GB2312" w:eastAsia="仿宋_GB2312" w:cs="仿宋_GB2312"/>
                <w:sz w:val="24"/>
                <w:szCs w:val="24"/>
                <w:highlight w:val="none"/>
              </w:rPr>
              <w:t>环境信息披露和环保信用评价政策</w:t>
            </w:r>
          </w:p>
        </w:tc>
        <w:tc>
          <w:tcPr>
            <w:tcW w:w="2820" w:type="pct"/>
            <w:vAlign w:val="center"/>
          </w:tcPr>
          <w:p w14:paraId="784EE5BE">
            <w:pPr>
              <w:spacing w:line="300" w:lineRule="exact"/>
              <w:jc w:val="left"/>
              <w:rPr>
                <w:rFonts w:ascii="仿宋_GB2312" w:hAnsi="仿宋_GB2312" w:eastAsia="仿宋_GB2312" w:cs="仿宋_GB2312"/>
                <w:kern w:val="2"/>
                <w:sz w:val="24"/>
                <w:szCs w:val="24"/>
                <w:highlight w:val="none"/>
                <w:lang w:val="en-US" w:eastAsia="zh-CN" w:bidi="ar-SA"/>
              </w:rPr>
            </w:pPr>
            <w:r>
              <w:rPr>
                <w:rFonts w:hint="eastAsia" w:ascii="仿宋_GB2312" w:hAnsi="仿宋_GB2312" w:eastAsia="仿宋_GB2312" w:cs="仿宋_GB2312"/>
                <w:sz w:val="24"/>
                <w:szCs w:val="24"/>
                <w:highlight w:val="none"/>
              </w:rPr>
              <w:t>制定环境信息依法披露企业名单，指导上市公司和发债企业履行强制性环境治理信息披露规定。开展企业环保信用评级，实行差异化监管。</w:t>
            </w:r>
          </w:p>
        </w:tc>
        <w:tc>
          <w:tcPr>
            <w:tcW w:w="793" w:type="pct"/>
            <w:vAlign w:val="center"/>
          </w:tcPr>
          <w:p w14:paraId="183EEA24">
            <w:pPr>
              <w:spacing w:line="300" w:lineRule="exact"/>
              <w:jc w:val="center"/>
              <w:rPr>
                <w:rFonts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市生态环境局</w:t>
            </w:r>
          </w:p>
        </w:tc>
      </w:tr>
      <w:tr w14:paraId="70BAEE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9" w:hRule="atLeast"/>
          <w:jc w:val="center"/>
        </w:trPr>
        <w:tc>
          <w:tcPr>
            <w:tcW w:w="256" w:type="pct"/>
            <w:vMerge w:val="restart"/>
            <w:vAlign w:val="center"/>
          </w:tcPr>
          <w:p w14:paraId="15DA4862">
            <w:pPr>
              <w:spacing w:line="300" w:lineRule="exact"/>
              <w:jc w:val="center"/>
              <w:rPr>
                <w:rFonts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生态宜居</w:t>
            </w:r>
          </w:p>
        </w:tc>
        <w:tc>
          <w:tcPr>
            <w:tcW w:w="291" w:type="pct"/>
            <w:vAlign w:val="center"/>
          </w:tcPr>
          <w:p w14:paraId="0E17F550">
            <w:pPr>
              <w:numPr>
                <w:ilvl w:val="0"/>
                <w:numId w:val="5"/>
              </w:numPr>
              <w:spacing w:line="286" w:lineRule="exact"/>
              <w:ind w:left="425" w:leftChars="0" w:hanging="425" w:firstLineChars="0"/>
              <w:jc w:val="center"/>
              <w:rPr>
                <w:rFonts w:ascii="仿宋_GB2312" w:hAnsi="仿宋_GB2312" w:eastAsia="仿宋_GB2312" w:cs="仿宋_GB2312"/>
                <w:sz w:val="24"/>
                <w:szCs w:val="24"/>
                <w:highlight w:val="none"/>
              </w:rPr>
            </w:pPr>
          </w:p>
        </w:tc>
        <w:tc>
          <w:tcPr>
            <w:tcW w:w="836" w:type="pct"/>
            <w:vAlign w:val="center"/>
          </w:tcPr>
          <w:p w14:paraId="767E011F">
            <w:pPr>
              <w:spacing w:line="300" w:lineRule="exact"/>
              <w:jc w:val="center"/>
              <w:rPr>
                <w:rFonts w:hint="default" w:ascii="仿宋_GB2312" w:hAnsi="仿宋_GB2312" w:eastAsia="仿宋_GB2312" w:cs="仿宋_GB2312"/>
                <w:sz w:val="24"/>
                <w:szCs w:val="24"/>
                <w:highlight w:val="none"/>
                <w:lang w:val="en-US" w:eastAsia="zh-CN"/>
              </w:rPr>
            </w:pPr>
            <w:r>
              <w:rPr>
                <w:rFonts w:hint="eastAsia" w:ascii="仿宋_GB2312" w:hAnsi="仿宋_GB2312" w:eastAsia="仿宋_GB2312" w:cs="仿宋_GB2312"/>
                <w:sz w:val="24"/>
                <w:szCs w:val="24"/>
                <w:highlight w:val="none"/>
                <w:lang w:val="en-US" w:eastAsia="zh-CN"/>
              </w:rPr>
              <w:t>全域精细保洁</w:t>
            </w:r>
          </w:p>
        </w:tc>
        <w:tc>
          <w:tcPr>
            <w:tcW w:w="2820" w:type="pct"/>
            <w:vAlign w:val="center"/>
          </w:tcPr>
          <w:p w14:paraId="0A2A10BB">
            <w:pPr>
              <w:spacing w:line="300" w:lineRule="exact"/>
              <w:jc w:val="left"/>
              <w:rPr>
                <w:rFonts w:hint="eastAsia" w:ascii="仿宋_GB2312" w:hAnsi="仿宋_GB2312" w:eastAsia="仿宋_GB2312" w:cs="仿宋_GB2312"/>
                <w:sz w:val="24"/>
                <w:szCs w:val="24"/>
                <w:highlight w:val="none"/>
                <w:lang w:eastAsia="zh-CN"/>
              </w:rPr>
            </w:pPr>
            <w:r>
              <w:rPr>
                <w:rFonts w:hint="eastAsia" w:ascii="仿宋_GB2312" w:hAnsi="仿宋_GB2312" w:eastAsia="仿宋_GB2312" w:cs="仿宋_GB2312"/>
                <w:sz w:val="24"/>
                <w:szCs w:val="24"/>
                <w:highlight w:val="none"/>
              </w:rPr>
              <w:t>实施城市道路分级分类保洁，推行“平面+立面”一体化作业模式，强化洒水车、洗扫车、雾炮车协同作业</w:t>
            </w:r>
            <w:r>
              <w:rPr>
                <w:rFonts w:hint="eastAsia" w:ascii="仿宋_GB2312" w:hAnsi="仿宋_GB2312" w:eastAsia="仿宋_GB2312" w:cs="仿宋_GB2312"/>
                <w:sz w:val="24"/>
                <w:szCs w:val="24"/>
                <w:highlight w:val="none"/>
                <w:lang w:eastAsia="zh-CN"/>
              </w:rPr>
              <w:t>。创新重点区域动态保洁模式，推行商圈街区“潮汐保洁+定制收运”模式。</w:t>
            </w:r>
          </w:p>
        </w:tc>
        <w:tc>
          <w:tcPr>
            <w:tcW w:w="793" w:type="pct"/>
            <w:vAlign w:val="center"/>
          </w:tcPr>
          <w:p w14:paraId="6BEC9725">
            <w:pPr>
              <w:spacing w:line="300" w:lineRule="exact"/>
              <w:jc w:val="center"/>
              <w:rPr>
                <w:rFonts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市城管委</w:t>
            </w:r>
          </w:p>
        </w:tc>
      </w:tr>
      <w:tr w14:paraId="26ABD1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56" w:type="pct"/>
            <w:vMerge w:val="continue"/>
            <w:vAlign w:val="center"/>
          </w:tcPr>
          <w:p w14:paraId="030C40F0">
            <w:pPr>
              <w:spacing w:line="300" w:lineRule="exact"/>
              <w:jc w:val="center"/>
              <w:rPr>
                <w:rFonts w:ascii="仿宋_GB2312" w:hAnsi="仿宋_GB2312" w:eastAsia="仿宋_GB2312" w:cs="仿宋_GB2312"/>
                <w:sz w:val="24"/>
                <w:szCs w:val="24"/>
                <w:highlight w:val="none"/>
              </w:rPr>
            </w:pPr>
          </w:p>
        </w:tc>
        <w:tc>
          <w:tcPr>
            <w:tcW w:w="291" w:type="pct"/>
            <w:vAlign w:val="center"/>
          </w:tcPr>
          <w:p w14:paraId="2714E231">
            <w:pPr>
              <w:numPr>
                <w:ilvl w:val="0"/>
                <w:numId w:val="5"/>
              </w:numPr>
              <w:spacing w:line="286" w:lineRule="exact"/>
              <w:ind w:left="425" w:leftChars="0" w:hanging="425" w:firstLineChars="0"/>
              <w:jc w:val="center"/>
              <w:rPr>
                <w:rFonts w:ascii="仿宋_GB2312" w:hAnsi="仿宋_GB2312" w:eastAsia="仿宋_GB2312" w:cs="仿宋_GB2312"/>
                <w:sz w:val="24"/>
                <w:szCs w:val="24"/>
                <w:highlight w:val="none"/>
              </w:rPr>
            </w:pPr>
          </w:p>
        </w:tc>
        <w:tc>
          <w:tcPr>
            <w:tcW w:w="836" w:type="pct"/>
            <w:vAlign w:val="center"/>
          </w:tcPr>
          <w:p w14:paraId="108BB7E9">
            <w:pPr>
              <w:spacing w:line="300" w:lineRule="exact"/>
              <w:jc w:val="center"/>
              <w:rPr>
                <w:rFonts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生活垃圾分类管理政策</w:t>
            </w:r>
          </w:p>
        </w:tc>
        <w:tc>
          <w:tcPr>
            <w:tcW w:w="2820" w:type="pct"/>
            <w:vAlign w:val="center"/>
          </w:tcPr>
          <w:p w14:paraId="0C53C5A0">
            <w:pPr>
              <w:spacing w:line="300" w:lineRule="exact"/>
              <w:jc w:val="left"/>
              <w:rPr>
                <w:rFonts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健全生活垃圾分类投放、收集、运输、处置全链条管理机制，统一分类标识和设施标准，建立分类计价、计量收费制度，推动生活垃圾减量化、资源化、无害化，将分类要求纳入村规民约、居民公约</w:t>
            </w:r>
          </w:p>
        </w:tc>
        <w:tc>
          <w:tcPr>
            <w:tcW w:w="793" w:type="pct"/>
            <w:vAlign w:val="center"/>
          </w:tcPr>
          <w:p w14:paraId="49423AF4">
            <w:pPr>
              <w:spacing w:line="300" w:lineRule="exact"/>
              <w:jc w:val="center"/>
              <w:rPr>
                <w:rFonts w:hint="default" w:ascii="仿宋_GB2312" w:hAnsi="仿宋_GB2312" w:eastAsia="仿宋_GB2312" w:cs="仿宋_GB2312"/>
                <w:sz w:val="24"/>
                <w:szCs w:val="24"/>
                <w:highlight w:val="none"/>
                <w:lang w:val="en-US" w:eastAsia="zh-CN"/>
              </w:rPr>
            </w:pPr>
            <w:r>
              <w:rPr>
                <w:rFonts w:hint="eastAsia" w:ascii="仿宋_GB2312" w:hAnsi="仿宋_GB2312" w:eastAsia="仿宋_GB2312" w:cs="仿宋_GB2312"/>
                <w:sz w:val="24"/>
                <w:szCs w:val="24"/>
                <w:highlight w:val="none"/>
                <w:lang w:val="en-US" w:eastAsia="zh-CN"/>
              </w:rPr>
              <w:t>市城管委、市商务局</w:t>
            </w:r>
          </w:p>
        </w:tc>
      </w:tr>
      <w:tr w14:paraId="014332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56" w:type="pct"/>
            <w:vMerge w:val="continue"/>
            <w:vAlign w:val="center"/>
          </w:tcPr>
          <w:p w14:paraId="5D2E01D1">
            <w:pPr>
              <w:spacing w:line="300" w:lineRule="exact"/>
              <w:jc w:val="center"/>
              <w:rPr>
                <w:rFonts w:ascii="仿宋_GB2312" w:hAnsi="仿宋_GB2312" w:eastAsia="仿宋_GB2312" w:cs="仿宋_GB2312"/>
                <w:sz w:val="24"/>
                <w:szCs w:val="24"/>
                <w:highlight w:val="none"/>
              </w:rPr>
            </w:pPr>
          </w:p>
        </w:tc>
        <w:tc>
          <w:tcPr>
            <w:tcW w:w="291" w:type="pct"/>
            <w:vAlign w:val="center"/>
          </w:tcPr>
          <w:p w14:paraId="3145D090">
            <w:pPr>
              <w:numPr>
                <w:ilvl w:val="0"/>
                <w:numId w:val="5"/>
              </w:numPr>
              <w:spacing w:line="286" w:lineRule="exact"/>
              <w:ind w:left="425" w:leftChars="0" w:hanging="425" w:firstLineChars="0"/>
              <w:jc w:val="center"/>
              <w:rPr>
                <w:rFonts w:ascii="仿宋_GB2312" w:hAnsi="仿宋_GB2312" w:eastAsia="仿宋_GB2312" w:cs="仿宋_GB2312"/>
                <w:sz w:val="24"/>
                <w:szCs w:val="24"/>
                <w:highlight w:val="none"/>
              </w:rPr>
            </w:pPr>
          </w:p>
        </w:tc>
        <w:tc>
          <w:tcPr>
            <w:tcW w:w="836" w:type="pct"/>
            <w:vAlign w:val="center"/>
          </w:tcPr>
          <w:p w14:paraId="57A5342E">
            <w:pPr>
              <w:spacing w:line="254" w:lineRule="exact"/>
              <w:jc w:val="center"/>
              <w:rPr>
                <w:rFonts w:hint="eastAsia" w:ascii="仿宋_GB2312" w:hAnsi="仿宋_GB2312" w:eastAsia="仿宋_GB2312" w:cs="仿宋_GB2312"/>
                <w:sz w:val="24"/>
                <w:szCs w:val="24"/>
                <w:highlight w:val="none"/>
                <w:lang w:val="en-US" w:eastAsia="zh-CN"/>
              </w:rPr>
            </w:pPr>
            <w:r>
              <w:rPr>
                <w:rFonts w:hint="eastAsia" w:ascii="仿宋_GB2312" w:hAnsi="仿宋_GB2312" w:eastAsia="仿宋_GB2312" w:cs="仿宋_GB2312"/>
                <w:sz w:val="24"/>
                <w:szCs w:val="24"/>
                <w:highlight w:val="none"/>
              </w:rPr>
              <w:t>老旧厂区活化利用</w:t>
            </w:r>
          </w:p>
        </w:tc>
        <w:tc>
          <w:tcPr>
            <w:tcW w:w="2820" w:type="pct"/>
            <w:vAlign w:val="center"/>
          </w:tcPr>
          <w:p w14:paraId="3E117DD3">
            <w:pPr>
              <w:spacing w:line="254" w:lineRule="exact"/>
              <w:jc w:val="left"/>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lang w:eastAsia="zh-CN"/>
              </w:rPr>
              <w:t>活化利用工业遗存，引入产业创新项目，鼓励发展文化、旅游等新型服务消费载体。</w:t>
            </w:r>
            <w:r>
              <w:rPr>
                <w:rFonts w:hint="eastAsia" w:ascii="仿宋_GB2312" w:hAnsi="仿宋_GB2312" w:eastAsia="仿宋_GB2312" w:cs="仿宋_GB2312"/>
                <w:sz w:val="24"/>
                <w:szCs w:val="24"/>
                <w:highlight w:val="none"/>
              </w:rPr>
              <w:t>引导老旧厂区引入文化体育产业、现代服务业、“大健康、新文旅、泛娱乐”等改善型生活性服务业新业态</w:t>
            </w:r>
            <w:r>
              <w:rPr>
                <w:rFonts w:hint="eastAsia" w:ascii="仿宋_GB2312" w:hAnsi="仿宋_GB2312" w:eastAsia="仿宋_GB2312" w:cs="仿宋_GB2312"/>
                <w:sz w:val="24"/>
                <w:szCs w:val="24"/>
                <w:highlight w:val="none"/>
                <w:lang w:eastAsia="zh-CN"/>
              </w:rPr>
              <w:t>。</w:t>
            </w:r>
          </w:p>
        </w:tc>
        <w:tc>
          <w:tcPr>
            <w:tcW w:w="793" w:type="pct"/>
            <w:vAlign w:val="center"/>
          </w:tcPr>
          <w:p w14:paraId="496FC4A4">
            <w:pPr>
              <w:spacing w:line="290" w:lineRule="exact"/>
              <w:jc w:val="center"/>
              <w:rPr>
                <w:rFonts w:hint="default" w:ascii="Calibri" w:hAnsi="Calibri" w:eastAsia="宋体" w:cs="Times New Roman"/>
                <w:highlight w:val="none"/>
                <w:lang w:val="en-US" w:eastAsia="zh-CN"/>
              </w:rPr>
            </w:pPr>
            <w:r>
              <w:rPr>
                <w:rFonts w:hint="eastAsia" w:ascii="仿宋_GB2312" w:hAnsi="仿宋_GB2312" w:eastAsia="仿宋_GB2312" w:cs="仿宋_GB2312"/>
                <w:kern w:val="2"/>
                <w:sz w:val="24"/>
                <w:szCs w:val="24"/>
                <w:highlight w:val="none"/>
                <w:lang w:val="en-US" w:eastAsia="zh-CN" w:bidi="ar-SA"/>
              </w:rPr>
              <w:t>市文化和旅游局</w:t>
            </w:r>
          </w:p>
        </w:tc>
      </w:tr>
      <w:tr w14:paraId="475092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56" w:type="pct"/>
            <w:vMerge w:val="continue"/>
            <w:vAlign w:val="center"/>
          </w:tcPr>
          <w:p w14:paraId="1DBB55FF">
            <w:pPr>
              <w:spacing w:line="300" w:lineRule="exact"/>
              <w:jc w:val="center"/>
              <w:rPr>
                <w:rFonts w:ascii="仿宋_GB2312" w:hAnsi="仿宋_GB2312" w:eastAsia="仿宋_GB2312" w:cs="仿宋_GB2312"/>
                <w:sz w:val="24"/>
                <w:szCs w:val="24"/>
                <w:highlight w:val="none"/>
              </w:rPr>
            </w:pPr>
          </w:p>
        </w:tc>
        <w:tc>
          <w:tcPr>
            <w:tcW w:w="291" w:type="pct"/>
            <w:vAlign w:val="center"/>
          </w:tcPr>
          <w:p w14:paraId="12B26571">
            <w:pPr>
              <w:numPr>
                <w:ilvl w:val="0"/>
                <w:numId w:val="5"/>
              </w:numPr>
              <w:spacing w:line="286" w:lineRule="exact"/>
              <w:ind w:left="425" w:leftChars="0" w:hanging="425" w:firstLineChars="0"/>
              <w:jc w:val="center"/>
              <w:rPr>
                <w:rFonts w:ascii="仿宋_GB2312" w:hAnsi="仿宋_GB2312" w:eastAsia="仿宋_GB2312" w:cs="仿宋_GB2312"/>
                <w:sz w:val="24"/>
                <w:szCs w:val="24"/>
                <w:highlight w:val="none"/>
              </w:rPr>
            </w:pPr>
          </w:p>
        </w:tc>
        <w:tc>
          <w:tcPr>
            <w:tcW w:w="836" w:type="pct"/>
            <w:vAlign w:val="center"/>
          </w:tcPr>
          <w:p w14:paraId="6B62DBD5">
            <w:pPr>
              <w:spacing w:line="254" w:lineRule="exact"/>
              <w:jc w:val="center"/>
              <w:rPr>
                <w:rFonts w:hint="default" w:ascii="仿宋_GB2312" w:hAnsi="仿宋_GB2312" w:eastAsia="仿宋_GB2312" w:cs="仿宋_GB2312"/>
                <w:sz w:val="24"/>
                <w:szCs w:val="24"/>
                <w:highlight w:val="none"/>
                <w:lang w:val="en-US" w:eastAsia="zh-CN"/>
              </w:rPr>
            </w:pPr>
            <w:r>
              <w:rPr>
                <w:rFonts w:hint="eastAsia" w:ascii="仿宋_GB2312" w:hAnsi="仿宋_GB2312" w:eastAsia="仿宋_GB2312" w:cs="仿宋_GB2312"/>
                <w:sz w:val="24"/>
                <w:szCs w:val="24"/>
                <w:highlight w:val="none"/>
                <w:lang w:val="en-US" w:eastAsia="zh-CN"/>
              </w:rPr>
              <w:t>城市公园品质提升</w:t>
            </w:r>
          </w:p>
        </w:tc>
        <w:tc>
          <w:tcPr>
            <w:tcW w:w="2820" w:type="pct"/>
            <w:vAlign w:val="center"/>
          </w:tcPr>
          <w:p w14:paraId="69B3B74B">
            <w:pPr>
              <w:spacing w:line="254" w:lineRule="exact"/>
              <w:jc w:val="left"/>
              <w:rPr>
                <w:rFonts w:hint="eastAsia" w:ascii="仿宋_GB2312" w:hAnsi="仿宋_GB2312" w:eastAsia="仿宋_GB2312" w:cs="仿宋_GB2312"/>
                <w:sz w:val="24"/>
                <w:szCs w:val="24"/>
                <w:highlight w:val="none"/>
                <w:lang w:eastAsia="zh-CN"/>
              </w:rPr>
            </w:pPr>
            <w:r>
              <w:rPr>
                <w:rFonts w:hint="eastAsia" w:ascii="仿宋_GB2312" w:hAnsi="仿宋_GB2312" w:eastAsia="仿宋_GB2312" w:cs="仿宋_GB2312"/>
                <w:sz w:val="24"/>
                <w:szCs w:val="24"/>
                <w:highlight w:val="none"/>
                <w:lang w:eastAsia="zh-CN"/>
              </w:rPr>
              <w:t>持续推进绿地开放共享，打造2个“无界公园”试点，推动公园与城市空间有效衔接。对全市已建成口袋公园建立“一园一档”信息台账，每个城区选取不少于2个试点，分类施策、试点推进，压实口袋公园管养主体责任。</w:t>
            </w:r>
          </w:p>
        </w:tc>
        <w:tc>
          <w:tcPr>
            <w:tcW w:w="793" w:type="pct"/>
            <w:vAlign w:val="center"/>
          </w:tcPr>
          <w:p w14:paraId="5677AD3B">
            <w:pPr>
              <w:spacing w:line="290" w:lineRule="exact"/>
              <w:jc w:val="center"/>
              <w:rPr>
                <w:rFonts w:hint="eastAsia" w:ascii="Calibri" w:hAnsi="Calibri" w:eastAsia="宋体" w:cs="Times New Roman"/>
                <w:highlight w:val="none"/>
                <w:lang w:val="en-US" w:eastAsia="zh-CN"/>
              </w:rPr>
            </w:pPr>
            <w:r>
              <w:rPr>
                <w:rFonts w:hint="eastAsia" w:ascii="仿宋_GB2312" w:hAnsi="仿宋_GB2312" w:eastAsia="仿宋_GB2312" w:cs="仿宋_GB2312"/>
                <w:sz w:val="24"/>
                <w:szCs w:val="24"/>
                <w:highlight w:val="none"/>
                <w:lang w:eastAsia="zh-CN"/>
              </w:rPr>
              <w:t>市城管委</w:t>
            </w:r>
          </w:p>
        </w:tc>
      </w:tr>
      <w:tr w14:paraId="55ACA5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56" w:type="pct"/>
            <w:vMerge w:val="restart"/>
            <w:vAlign w:val="center"/>
          </w:tcPr>
          <w:p w14:paraId="3BB16E57">
            <w:pPr>
              <w:spacing w:line="280" w:lineRule="exact"/>
              <w:jc w:val="center"/>
              <w:rPr>
                <w:rFonts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安全健康</w:t>
            </w:r>
          </w:p>
        </w:tc>
        <w:tc>
          <w:tcPr>
            <w:tcW w:w="291" w:type="pct"/>
            <w:vAlign w:val="center"/>
          </w:tcPr>
          <w:p w14:paraId="3AE56812">
            <w:pPr>
              <w:numPr>
                <w:ilvl w:val="0"/>
                <w:numId w:val="5"/>
              </w:numPr>
              <w:spacing w:line="286" w:lineRule="exact"/>
              <w:ind w:left="425" w:leftChars="0" w:hanging="425" w:firstLineChars="0"/>
              <w:jc w:val="center"/>
              <w:rPr>
                <w:rFonts w:hint="eastAsia" w:ascii="仿宋_GB2312" w:hAnsi="仿宋_GB2312" w:eastAsia="仿宋_GB2312" w:cs="仿宋_GB2312"/>
                <w:sz w:val="24"/>
                <w:szCs w:val="24"/>
                <w:highlight w:val="none"/>
              </w:rPr>
            </w:pPr>
          </w:p>
        </w:tc>
        <w:tc>
          <w:tcPr>
            <w:tcW w:w="836" w:type="pct"/>
            <w:vAlign w:val="center"/>
          </w:tcPr>
          <w:p w14:paraId="25E4ABEC">
            <w:pPr>
              <w:spacing w:line="290" w:lineRule="exact"/>
              <w:jc w:val="center"/>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lang w:val="en-US" w:eastAsia="zh-CN"/>
              </w:rPr>
              <w:t>海绵城市建设政策</w:t>
            </w:r>
          </w:p>
        </w:tc>
        <w:tc>
          <w:tcPr>
            <w:tcW w:w="2820" w:type="pct"/>
            <w:vAlign w:val="center"/>
          </w:tcPr>
          <w:p w14:paraId="60368727">
            <w:pPr>
              <w:spacing w:line="290" w:lineRule="exact"/>
              <w:jc w:val="both"/>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lang w:val="en-US" w:eastAsia="zh-CN"/>
              </w:rPr>
              <w:t>贯彻落实《关于加强和规范海绵城市全过程管控有关工作的通知》《黄石市海绵城市建设管理条例》，发布</w:t>
            </w:r>
            <w:r>
              <w:rPr>
                <w:rFonts w:hint="eastAsia" w:ascii="仿宋_GB2312" w:hAnsi="仿宋_GB2312" w:eastAsia="仿宋_GB2312" w:cs="仿宋_GB2312"/>
                <w:sz w:val="24"/>
                <w:szCs w:val="24"/>
                <w:highlight w:val="none"/>
              </w:rPr>
              <w:t>黄石市海绵城市建设专项规划</w:t>
            </w:r>
            <w:r>
              <w:rPr>
                <w:rFonts w:hint="eastAsia" w:ascii="仿宋_GB2312" w:hAnsi="仿宋_GB2312" w:eastAsia="仿宋_GB2312" w:cs="仿宋_GB2312"/>
                <w:sz w:val="24"/>
                <w:szCs w:val="24"/>
                <w:highlight w:val="none"/>
                <w:lang w:val="en-US" w:eastAsia="zh-CN"/>
              </w:rPr>
              <w:t>及相关技术导则</w:t>
            </w:r>
            <w:r>
              <w:rPr>
                <w:rFonts w:hint="eastAsia" w:ascii="仿宋_GB2312" w:hAnsi="仿宋_GB2312" w:eastAsia="仿宋_GB2312" w:cs="仿宋_GB2312"/>
                <w:sz w:val="24"/>
                <w:szCs w:val="24"/>
                <w:highlight w:val="none"/>
                <w:lang w:eastAsia="zh-CN"/>
              </w:rPr>
              <w:t>，</w:t>
            </w:r>
            <w:r>
              <w:rPr>
                <w:rFonts w:hint="eastAsia" w:ascii="仿宋_GB2312" w:hAnsi="仿宋_GB2312" w:eastAsia="仿宋_GB2312" w:cs="仿宋_GB2312"/>
                <w:sz w:val="24"/>
                <w:szCs w:val="24"/>
                <w:highlight w:val="none"/>
                <w:lang w:val="en-US" w:eastAsia="zh-CN"/>
              </w:rPr>
              <w:t>开展海绵城市技术指导，强化海绵城市全过程规划建设管理和考核评价。推动海绵城市项目图审全面纳入省级施工图数字化审查平台，构建全过程管控体系。</w:t>
            </w:r>
          </w:p>
        </w:tc>
        <w:tc>
          <w:tcPr>
            <w:tcW w:w="793" w:type="pct"/>
            <w:vAlign w:val="center"/>
          </w:tcPr>
          <w:p w14:paraId="7832BC81">
            <w:pPr>
              <w:spacing w:line="290" w:lineRule="exact"/>
              <w:jc w:val="center"/>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lang w:val="en-US" w:eastAsia="zh-CN"/>
              </w:rPr>
              <w:t>市住房和城市更新局</w:t>
            </w:r>
          </w:p>
        </w:tc>
      </w:tr>
      <w:tr w14:paraId="3504CE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56" w:type="pct"/>
            <w:vMerge w:val="continue"/>
            <w:vAlign w:val="center"/>
          </w:tcPr>
          <w:p w14:paraId="1372C411">
            <w:pPr>
              <w:spacing w:line="280" w:lineRule="exact"/>
              <w:jc w:val="center"/>
              <w:rPr>
                <w:rFonts w:hint="eastAsia" w:ascii="仿宋_GB2312" w:hAnsi="仿宋_GB2312" w:eastAsia="仿宋_GB2312" w:cs="仿宋_GB2312"/>
                <w:sz w:val="24"/>
                <w:szCs w:val="24"/>
                <w:highlight w:val="none"/>
              </w:rPr>
            </w:pPr>
          </w:p>
        </w:tc>
        <w:tc>
          <w:tcPr>
            <w:tcW w:w="291" w:type="pct"/>
            <w:vAlign w:val="center"/>
          </w:tcPr>
          <w:p w14:paraId="2AE90B18">
            <w:pPr>
              <w:numPr>
                <w:ilvl w:val="0"/>
                <w:numId w:val="5"/>
              </w:numPr>
              <w:spacing w:line="286" w:lineRule="exact"/>
              <w:ind w:left="425" w:leftChars="0" w:hanging="425" w:firstLineChars="0"/>
              <w:jc w:val="center"/>
              <w:rPr>
                <w:rFonts w:hint="eastAsia" w:ascii="仿宋_GB2312" w:hAnsi="仿宋_GB2312" w:eastAsia="仿宋_GB2312" w:cs="仿宋_GB2312"/>
                <w:sz w:val="24"/>
                <w:szCs w:val="24"/>
                <w:highlight w:val="none"/>
              </w:rPr>
            </w:pPr>
          </w:p>
        </w:tc>
        <w:tc>
          <w:tcPr>
            <w:tcW w:w="836" w:type="pct"/>
            <w:vAlign w:val="center"/>
          </w:tcPr>
          <w:p w14:paraId="13A41ECC">
            <w:pPr>
              <w:spacing w:line="290" w:lineRule="exact"/>
              <w:jc w:val="center"/>
              <w:rPr>
                <w:rFonts w:hint="default" w:ascii="仿宋_GB2312" w:hAnsi="仿宋_GB2312" w:eastAsia="仿宋_GB2312" w:cs="仿宋_GB2312"/>
                <w:sz w:val="24"/>
                <w:szCs w:val="24"/>
                <w:highlight w:val="none"/>
                <w:lang w:val="en-US" w:eastAsia="zh-CN"/>
              </w:rPr>
            </w:pPr>
            <w:r>
              <w:rPr>
                <w:rFonts w:hint="eastAsia" w:ascii="仿宋_GB2312" w:hAnsi="仿宋_GB2312" w:eastAsia="仿宋_GB2312" w:cs="仿宋_GB2312"/>
                <w:sz w:val="24"/>
                <w:szCs w:val="24"/>
                <w:highlight w:val="none"/>
                <w:lang w:val="en-US" w:eastAsia="zh-CN"/>
              </w:rPr>
              <w:t>城市重点领域安全保障</w:t>
            </w:r>
          </w:p>
        </w:tc>
        <w:tc>
          <w:tcPr>
            <w:tcW w:w="2820" w:type="pct"/>
            <w:vAlign w:val="center"/>
          </w:tcPr>
          <w:p w14:paraId="40AE0934">
            <w:pPr>
              <w:spacing w:line="290" w:lineRule="exact"/>
              <w:jc w:val="both"/>
              <w:rPr>
                <w:rFonts w:hint="eastAsia" w:ascii="仿宋_GB2312" w:hAnsi="仿宋_GB2312" w:eastAsia="仿宋_GB2312" w:cs="仿宋_GB2312"/>
                <w:sz w:val="24"/>
                <w:szCs w:val="24"/>
                <w:highlight w:val="none"/>
                <w:lang w:val="en-US" w:eastAsia="zh-CN"/>
              </w:rPr>
            </w:pPr>
            <w:r>
              <w:rPr>
                <w:rFonts w:hint="eastAsia" w:ascii="仿宋_GB2312" w:hAnsi="仿宋_GB2312" w:eastAsia="仿宋_GB2312" w:cs="仿宋_GB2312"/>
                <w:sz w:val="24"/>
                <w:szCs w:val="24"/>
                <w:highlight w:val="none"/>
                <w:lang w:val="en-US" w:eastAsia="zh-CN"/>
              </w:rPr>
              <w:t>加快城市基础设施生命线安全工程建设，实现燃气、桥隧、排水、供水、管廊等重点场景监测全覆盖，深化城市体检结果运用，提升城市安全水平。完善低温雨雪冰冻、洪水、内涝等灾害监测预警机制，加强安全隐患排查治理机制。</w:t>
            </w:r>
          </w:p>
        </w:tc>
        <w:tc>
          <w:tcPr>
            <w:tcW w:w="793" w:type="pct"/>
            <w:vAlign w:val="center"/>
          </w:tcPr>
          <w:p w14:paraId="04694747">
            <w:pPr>
              <w:spacing w:line="290" w:lineRule="exact"/>
              <w:jc w:val="center"/>
              <w:rPr>
                <w:rFonts w:hint="eastAsia" w:ascii="仿宋_GB2312" w:hAnsi="仿宋_GB2312" w:eastAsia="仿宋_GB2312" w:cs="仿宋_GB2312"/>
                <w:sz w:val="24"/>
                <w:szCs w:val="24"/>
                <w:highlight w:val="none"/>
                <w:lang w:val="en-US" w:eastAsia="zh-CN"/>
              </w:rPr>
            </w:pPr>
            <w:r>
              <w:rPr>
                <w:rFonts w:hint="eastAsia" w:ascii="仿宋_GB2312" w:hAnsi="仿宋_GB2312" w:eastAsia="仿宋_GB2312" w:cs="仿宋_GB2312"/>
                <w:sz w:val="24"/>
                <w:szCs w:val="24"/>
                <w:highlight w:val="none"/>
                <w:lang w:eastAsia="zh-CN"/>
              </w:rPr>
              <w:t>市城管委</w:t>
            </w:r>
          </w:p>
        </w:tc>
      </w:tr>
      <w:tr w14:paraId="1DBE37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56" w:type="pct"/>
            <w:vMerge w:val="restart"/>
            <w:vAlign w:val="center"/>
          </w:tcPr>
          <w:p w14:paraId="34FB1141">
            <w:pPr>
              <w:spacing w:line="280" w:lineRule="exact"/>
              <w:jc w:val="center"/>
              <w:rPr>
                <w:rFonts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智慧高效</w:t>
            </w:r>
          </w:p>
        </w:tc>
        <w:tc>
          <w:tcPr>
            <w:tcW w:w="291" w:type="pct"/>
            <w:vAlign w:val="center"/>
          </w:tcPr>
          <w:p w14:paraId="66CED5FA">
            <w:pPr>
              <w:numPr>
                <w:ilvl w:val="0"/>
                <w:numId w:val="5"/>
              </w:numPr>
              <w:spacing w:line="286" w:lineRule="exact"/>
              <w:ind w:left="425" w:leftChars="0" w:hanging="425" w:firstLineChars="0"/>
              <w:jc w:val="center"/>
              <w:rPr>
                <w:rFonts w:ascii="仿宋_GB2312" w:hAnsi="仿宋_GB2312" w:eastAsia="仿宋_GB2312" w:cs="仿宋_GB2312"/>
                <w:sz w:val="24"/>
                <w:szCs w:val="24"/>
                <w:highlight w:val="none"/>
              </w:rPr>
            </w:pPr>
          </w:p>
        </w:tc>
        <w:tc>
          <w:tcPr>
            <w:tcW w:w="836" w:type="pct"/>
            <w:vAlign w:val="center"/>
          </w:tcPr>
          <w:p w14:paraId="5A8C9810">
            <w:pPr>
              <w:spacing w:line="280" w:lineRule="exact"/>
              <w:jc w:val="center"/>
              <w:rPr>
                <w:rFonts w:hint="default" w:ascii="仿宋_GB2312" w:hAnsi="仿宋_GB2312" w:eastAsia="仿宋_GB2312" w:cs="仿宋_GB2312"/>
                <w:sz w:val="24"/>
                <w:szCs w:val="24"/>
                <w:highlight w:val="none"/>
                <w:lang w:val="en-US" w:eastAsia="zh-CN"/>
              </w:rPr>
            </w:pPr>
            <w:r>
              <w:rPr>
                <w:rFonts w:hint="eastAsia" w:ascii="仿宋_GB2312" w:hAnsi="仿宋_GB2312" w:eastAsia="仿宋_GB2312" w:cs="仿宋_GB2312"/>
                <w:sz w:val="24"/>
                <w:szCs w:val="24"/>
                <w:highlight w:val="none"/>
                <w:lang w:val="en-US" w:eastAsia="zh-CN"/>
              </w:rPr>
              <w:t>生态环境领域科技创新</w:t>
            </w:r>
          </w:p>
        </w:tc>
        <w:tc>
          <w:tcPr>
            <w:tcW w:w="2820" w:type="pct"/>
            <w:vAlign w:val="center"/>
          </w:tcPr>
          <w:p w14:paraId="3A4EE9CE">
            <w:pPr>
              <w:spacing w:line="280" w:lineRule="exact"/>
              <w:jc w:val="left"/>
              <w:rPr>
                <w:rFonts w:hint="eastAsia" w:ascii="仿宋_GB2312" w:hAnsi="仿宋_GB2312" w:eastAsia="仿宋_GB2312" w:cs="仿宋_GB2312"/>
                <w:sz w:val="24"/>
                <w:szCs w:val="24"/>
                <w:highlight w:val="none"/>
                <w:lang w:eastAsia="zh-CN"/>
              </w:rPr>
            </w:pPr>
            <w:r>
              <w:rPr>
                <w:rFonts w:hint="eastAsia" w:ascii="仿宋_GB2312" w:hAnsi="仿宋_GB2312" w:eastAsia="仿宋_GB2312" w:cs="仿宋_GB2312"/>
                <w:sz w:val="24"/>
                <w:szCs w:val="24"/>
                <w:highlight w:val="none"/>
              </w:rPr>
              <w:t>围绕减污减碳、磷石膏综合利用、生态环境保护修复、河湖生态修复、固废资源循环利用、微塑料和抗生素监测等领域开展河湖淤泥处置、</w:t>
            </w:r>
            <w:r>
              <w:rPr>
                <w:rFonts w:hint="eastAsia" w:ascii="仿宋_GB2312" w:hAnsi="仿宋_GB2312" w:eastAsia="仿宋_GB2312" w:cs="仿宋_GB2312"/>
                <w:sz w:val="24"/>
                <w:szCs w:val="24"/>
                <w:highlight w:val="none"/>
                <w:lang w:val="en-US" w:eastAsia="zh-CN"/>
              </w:rPr>
              <w:t>技</w:t>
            </w:r>
            <w:r>
              <w:rPr>
                <w:rFonts w:hint="eastAsia" w:ascii="仿宋_GB2312" w:hAnsi="仿宋_GB2312" w:eastAsia="仿宋_GB2312" w:cs="仿宋_GB2312"/>
                <w:sz w:val="24"/>
                <w:szCs w:val="24"/>
                <w:highlight w:val="none"/>
              </w:rPr>
              <w:t>术研发攻关，加强以应用为导向的科技平台建设，加大人工智能、卫星遥感、无人机、大数据等生态环境领域新技术推广应用，推动跨省技术合同互认、成果评价互认</w:t>
            </w:r>
            <w:r>
              <w:rPr>
                <w:rFonts w:hint="eastAsia" w:ascii="仿宋_GB2312" w:hAnsi="仿宋_GB2312" w:eastAsia="仿宋_GB2312" w:cs="仿宋_GB2312"/>
                <w:sz w:val="24"/>
                <w:szCs w:val="24"/>
                <w:highlight w:val="none"/>
                <w:lang w:eastAsia="zh-CN"/>
              </w:rPr>
              <w:t>。</w:t>
            </w:r>
          </w:p>
        </w:tc>
        <w:tc>
          <w:tcPr>
            <w:tcW w:w="793" w:type="pct"/>
            <w:vAlign w:val="center"/>
          </w:tcPr>
          <w:p w14:paraId="329A493D">
            <w:pPr>
              <w:spacing w:line="280" w:lineRule="exact"/>
              <w:jc w:val="center"/>
              <w:rPr>
                <w:rFonts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市生态环境局</w:t>
            </w:r>
          </w:p>
        </w:tc>
      </w:tr>
      <w:tr w14:paraId="374458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56" w:type="pct"/>
            <w:vMerge w:val="continue"/>
            <w:vAlign w:val="center"/>
          </w:tcPr>
          <w:p w14:paraId="38C5635C">
            <w:pPr>
              <w:spacing w:line="280" w:lineRule="exact"/>
              <w:jc w:val="center"/>
              <w:rPr>
                <w:rFonts w:ascii="仿宋_GB2312" w:hAnsi="仿宋_GB2312" w:eastAsia="仿宋_GB2312" w:cs="仿宋_GB2312"/>
                <w:sz w:val="24"/>
                <w:szCs w:val="24"/>
                <w:highlight w:val="none"/>
              </w:rPr>
            </w:pPr>
          </w:p>
        </w:tc>
        <w:tc>
          <w:tcPr>
            <w:tcW w:w="291" w:type="pct"/>
            <w:vAlign w:val="center"/>
          </w:tcPr>
          <w:p w14:paraId="2BF9A00D">
            <w:pPr>
              <w:numPr>
                <w:ilvl w:val="0"/>
                <w:numId w:val="5"/>
              </w:numPr>
              <w:spacing w:line="286" w:lineRule="exact"/>
              <w:ind w:left="425" w:leftChars="0" w:hanging="425" w:firstLineChars="0"/>
              <w:jc w:val="center"/>
              <w:rPr>
                <w:rFonts w:ascii="仿宋_GB2312" w:hAnsi="仿宋_GB2312" w:eastAsia="仿宋_GB2312" w:cs="仿宋_GB2312"/>
                <w:sz w:val="24"/>
                <w:szCs w:val="24"/>
                <w:highlight w:val="none"/>
              </w:rPr>
            </w:pPr>
          </w:p>
        </w:tc>
        <w:tc>
          <w:tcPr>
            <w:tcW w:w="836" w:type="pct"/>
            <w:vAlign w:val="center"/>
          </w:tcPr>
          <w:p w14:paraId="1A3E2D8B">
            <w:pPr>
              <w:spacing w:line="280" w:lineRule="exact"/>
              <w:jc w:val="center"/>
              <w:rPr>
                <w:rFonts w:hint="eastAsia" w:ascii="仿宋_GB2312" w:hAnsi="仿宋_GB2312" w:eastAsia="仿宋_GB2312" w:cs="仿宋_GB2312"/>
                <w:sz w:val="24"/>
                <w:szCs w:val="24"/>
                <w:highlight w:val="none"/>
                <w:lang w:val="en-US" w:eastAsia="zh-CN"/>
              </w:rPr>
            </w:pPr>
            <w:r>
              <w:rPr>
                <w:rFonts w:hint="eastAsia" w:ascii="仿宋_GB2312" w:hAnsi="仿宋_GB2312" w:eastAsia="仿宋_GB2312" w:cs="仿宋_GB2312"/>
                <w:sz w:val="24"/>
                <w:szCs w:val="24"/>
                <w:highlight w:val="none"/>
                <w:lang w:val="en-US" w:eastAsia="zh-CN"/>
              </w:rPr>
              <w:t>科技创新协同</w:t>
            </w:r>
          </w:p>
        </w:tc>
        <w:tc>
          <w:tcPr>
            <w:tcW w:w="2820" w:type="pct"/>
            <w:vAlign w:val="center"/>
          </w:tcPr>
          <w:p w14:paraId="4D15A27F">
            <w:pPr>
              <w:spacing w:line="280" w:lineRule="exact"/>
              <w:jc w:val="left"/>
              <w:rPr>
                <w:rFonts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lang w:val="en-US" w:eastAsia="zh-CN"/>
              </w:rPr>
              <w:t>贯彻落实《关于支持建设创新强市 打造全省科技创新协同区的若干政策》</w:t>
            </w:r>
            <w:r>
              <w:rPr>
                <w:rFonts w:hint="eastAsia" w:ascii="仿宋_GB2312" w:hAnsi="仿宋_GB2312" w:eastAsia="仿宋_GB2312" w:cs="仿宋_GB2312"/>
                <w:sz w:val="24"/>
                <w:szCs w:val="24"/>
                <w:highlight w:val="none"/>
              </w:rPr>
              <w:t>，优化创新平台支持方式，对高水平研发机构、“双创”平台和市级创新平台，通过定向委托承担科技项目等形式予以资金补助支持。</w:t>
            </w:r>
          </w:p>
        </w:tc>
        <w:tc>
          <w:tcPr>
            <w:tcW w:w="793" w:type="pct"/>
            <w:vAlign w:val="center"/>
          </w:tcPr>
          <w:p w14:paraId="382854EB">
            <w:pPr>
              <w:spacing w:line="280" w:lineRule="exact"/>
              <w:jc w:val="center"/>
              <w:rPr>
                <w:rFonts w:hint="default" w:ascii="仿宋_GB2312" w:hAnsi="仿宋_GB2312" w:eastAsia="仿宋_GB2312" w:cs="仿宋_GB2312"/>
                <w:sz w:val="24"/>
                <w:szCs w:val="24"/>
                <w:highlight w:val="none"/>
                <w:lang w:val="en-US" w:eastAsia="zh-CN"/>
              </w:rPr>
            </w:pPr>
            <w:r>
              <w:rPr>
                <w:rFonts w:hint="eastAsia" w:ascii="仿宋_GB2312" w:hAnsi="仿宋_GB2312" w:eastAsia="仿宋_GB2312" w:cs="仿宋_GB2312"/>
                <w:sz w:val="24"/>
                <w:szCs w:val="24"/>
                <w:highlight w:val="none"/>
              </w:rPr>
              <w:t>市科技局</w:t>
            </w:r>
            <w:r>
              <w:rPr>
                <w:rFonts w:hint="eastAsia" w:ascii="仿宋_GB2312" w:hAnsi="仿宋_GB2312" w:eastAsia="仿宋_GB2312" w:cs="仿宋_GB2312"/>
                <w:sz w:val="24"/>
                <w:szCs w:val="24"/>
                <w:highlight w:val="none"/>
                <w:lang w:eastAsia="zh-CN"/>
              </w:rPr>
              <w:t>、</w:t>
            </w:r>
            <w:r>
              <w:rPr>
                <w:rFonts w:hint="eastAsia" w:ascii="仿宋_GB2312" w:hAnsi="仿宋_GB2312" w:eastAsia="仿宋_GB2312" w:cs="仿宋_GB2312"/>
                <w:sz w:val="24"/>
                <w:szCs w:val="24"/>
                <w:highlight w:val="none"/>
                <w:lang w:val="en-US" w:eastAsia="zh-CN"/>
              </w:rPr>
              <w:t>市财政局</w:t>
            </w:r>
          </w:p>
        </w:tc>
      </w:tr>
    </w:tbl>
    <w:p w14:paraId="519D5972">
      <w:pPr>
        <w:outlineLvl w:val="9"/>
        <w:rPr>
          <w:rFonts w:hint="eastAsia" w:ascii="黑体" w:hAnsi="黑体" w:eastAsia="黑体" w:cs="黑体"/>
          <w:sz w:val="32"/>
          <w:szCs w:val="32"/>
          <w:highlight w:val="none"/>
        </w:rPr>
      </w:pPr>
      <w:r>
        <w:rPr>
          <w:rFonts w:hint="eastAsia" w:ascii="黑体" w:hAnsi="黑体" w:eastAsia="黑体" w:cs="黑体"/>
          <w:sz w:val="32"/>
          <w:szCs w:val="32"/>
          <w:highlight w:val="none"/>
        </w:rPr>
        <w:br w:type="page"/>
      </w:r>
    </w:p>
    <w:p w14:paraId="461E54C4">
      <w:pPr>
        <w:jc w:val="both"/>
        <w:rPr>
          <w:rFonts w:hint="eastAsia" w:ascii="Times New Roman" w:hAnsi="Times New Roman" w:eastAsia="黑体" w:cs="黑体"/>
          <w:b w:val="0"/>
          <w:bCs w:val="0"/>
          <w:sz w:val="32"/>
          <w:szCs w:val="32"/>
          <w:highlight w:val="none"/>
          <w:lang w:val="en-US" w:eastAsia="zh-CN"/>
        </w:rPr>
      </w:pPr>
      <w:r>
        <w:rPr>
          <w:rFonts w:hint="eastAsia" w:ascii="Times New Roman" w:hAnsi="Times New Roman" w:eastAsia="黑体" w:cs="黑体"/>
          <w:b w:val="0"/>
          <w:bCs w:val="0"/>
          <w:sz w:val="32"/>
          <w:szCs w:val="32"/>
          <w:highlight w:val="none"/>
        </w:rPr>
        <w:t>附</w:t>
      </w:r>
      <w:r>
        <w:rPr>
          <w:rFonts w:hint="eastAsia" w:ascii="Times New Roman" w:hAnsi="Times New Roman" w:eastAsia="黑体" w:cs="黑体"/>
          <w:b w:val="0"/>
          <w:bCs w:val="0"/>
          <w:sz w:val="32"/>
          <w:szCs w:val="32"/>
          <w:highlight w:val="none"/>
          <w:lang w:val="en-US" w:eastAsia="zh-CN"/>
        </w:rPr>
        <w:t>5</w:t>
      </w:r>
    </w:p>
    <w:p w14:paraId="0975A52F">
      <w:pPr>
        <w:jc w:val="center"/>
        <w:rPr>
          <w:rFonts w:hint="eastAsia" w:ascii="方正小标宋简体" w:hAnsi="方正小标宋简体" w:eastAsia="方正小标宋简体" w:cs="方正小标宋简体"/>
          <w:sz w:val="40"/>
          <w:szCs w:val="40"/>
          <w:highlight w:val="none"/>
          <w:lang w:val="en-US" w:eastAsia="zh-CN"/>
        </w:rPr>
      </w:pPr>
      <w:r>
        <w:rPr>
          <w:rFonts w:hint="eastAsia" w:ascii="方正小标宋简体" w:hAnsi="方正小标宋简体" w:eastAsia="方正小标宋简体" w:cs="方正小标宋简体"/>
          <w:sz w:val="40"/>
          <w:szCs w:val="40"/>
          <w:highlight w:val="none"/>
          <w:lang w:val="en-US" w:eastAsia="zh-CN"/>
        </w:rPr>
        <w:t>黄石市美丽城市建设重大工程清单（持续更新）</w:t>
      </w:r>
    </w:p>
    <w:tbl>
      <w:tblPr>
        <w:tblStyle w:val="12"/>
        <w:tblW w:w="1417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10"/>
        <w:gridCol w:w="454"/>
        <w:gridCol w:w="1701"/>
        <w:gridCol w:w="1191"/>
        <w:gridCol w:w="6287"/>
        <w:gridCol w:w="1410"/>
        <w:gridCol w:w="1204"/>
        <w:gridCol w:w="1417"/>
      </w:tblGrid>
      <w:tr w14:paraId="7D9E97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jc w:val="center"/>
        </w:trPr>
        <w:tc>
          <w:tcPr>
            <w:tcW w:w="510" w:type="dxa"/>
            <w:vAlign w:val="center"/>
          </w:tcPr>
          <w:p w14:paraId="1EAFEE4E">
            <w:pPr>
              <w:spacing w:line="300" w:lineRule="exact"/>
              <w:jc w:val="center"/>
              <w:rPr>
                <w:rFonts w:ascii="仿宋_GB2312" w:hAnsi="仿宋_GB2312" w:eastAsia="仿宋_GB2312" w:cs="仿宋_GB2312"/>
                <w:b/>
                <w:bCs/>
                <w:sz w:val="24"/>
                <w:szCs w:val="24"/>
                <w:highlight w:val="none"/>
              </w:rPr>
            </w:pPr>
            <w:r>
              <w:rPr>
                <w:rFonts w:hint="eastAsia" w:ascii="仿宋_GB2312" w:hAnsi="仿宋_GB2312" w:eastAsia="仿宋_GB2312" w:cs="仿宋_GB2312"/>
                <w:b/>
                <w:bCs/>
                <w:sz w:val="24"/>
                <w:szCs w:val="24"/>
                <w:highlight w:val="none"/>
              </w:rPr>
              <w:t>领域</w:t>
            </w:r>
          </w:p>
        </w:tc>
        <w:tc>
          <w:tcPr>
            <w:tcW w:w="454" w:type="dxa"/>
            <w:vAlign w:val="center"/>
          </w:tcPr>
          <w:p w14:paraId="7A37B313">
            <w:pPr>
              <w:spacing w:line="300" w:lineRule="exact"/>
              <w:jc w:val="center"/>
              <w:rPr>
                <w:rFonts w:ascii="仿宋_GB2312" w:hAnsi="仿宋_GB2312" w:eastAsia="仿宋_GB2312" w:cs="仿宋_GB2312"/>
                <w:b/>
                <w:bCs/>
                <w:sz w:val="24"/>
                <w:szCs w:val="24"/>
                <w:highlight w:val="none"/>
              </w:rPr>
            </w:pPr>
            <w:r>
              <w:rPr>
                <w:rFonts w:hint="eastAsia" w:ascii="仿宋_GB2312" w:hAnsi="仿宋_GB2312" w:eastAsia="仿宋_GB2312" w:cs="仿宋_GB2312"/>
                <w:b/>
                <w:bCs/>
                <w:sz w:val="24"/>
                <w:szCs w:val="24"/>
                <w:highlight w:val="none"/>
              </w:rPr>
              <w:t>序号</w:t>
            </w:r>
          </w:p>
        </w:tc>
        <w:tc>
          <w:tcPr>
            <w:tcW w:w="1701" w:type="dxa"/>
            <w:vAlign w:val="center"/>
          </w:tcPr>
          <w:p w14:paraId="0BFC7D48">
            <w:pPr>
              <w:spacing w:line="300" w:lineRule="exact"/>
              <w:jc w:val="center"/>
              <w:rPr>
                <w:rFonts w:ascii="仿宋_GB2312" w:hAnsi="仿宋_GB2312" w:eastAsia="仿宋_GB2312" w:cs="仿宋_GB2312"/>
                <w:b/>
                <w:bCs/>
                <w:sz w:val="24"/>
                <w:szCs w:val="24"/>
                <w:highlight w:val="none"/>
              </w:rPr>
            </w:pPr>
            <w:r>
              <w:rPr>
                <w:rFonts w:hint="eastAsia" w:ascii="仿宋_GB2312" w:hAnsi="仿宋_GB2312" w:eastAsia="仿宋_GB2312" w:cs="仿宋_GB2312"/>
                <w:b/>
                <w:bCs/>
                <w:sz w:val="24"/>
                <w:szCs w:val="24"/>
                <w:highlight w:val="none"/>
              </w:rPr>
              <w:t>项目名称</w:t>
            </w:r>
          </w:p>
        </w:tc>
        <w:tc>
          <w:tcPr>
            <w:tcW w:w="1191" w:type="dxa"/>
            <w:vAlign w:val="center"/>
          </w:tcPr>
          <w:p w14:paraId="1711DA33">
            <w:pPr>
              <w:spacing w:line="300" w:lineRule="exact"/>
              <w:jc w:val="center"/>
              <w:rPr>
                <w:rFonts w:hint="default" w:ascii="仿宋_GB2312" w:hAnsi="仿宋_GB2312" w:eastAsia="仿宋_GB2312" w:cs="仿宋_GB2312"/>
                <w:b/>
                <w:bCs/>
                <w:sz w:val="24"/>
                <w:szCs w:val="24"/>
                <w:highlight w:val="none"/>
                <w:lang w:val="en-US" w:eastAsia="zh-CN"/>
              </w:rPr>
            </w:pPr>
            <w:r>
              <w:rPr>
                <w:rFonts w:hint="eastAsia" w:ascii="仿宋_GB2312" w:hAnsi="仿宋_GB2312" w:eastAsia="仿宋_GB2312" w:cs="仿宋_GB2312"/>
                <w:b/>
                <w:bCs/>
                <w:sz w:val="24"/>
                <w:szCs w:val="24"/>
                <w:highlight w:val="none"/>
                <w:lang w:val="en-US" w:eastAsia="zh-CN"/>
              </w:rPr>
              <w:t>建设地点</w:t>
            </w:r>
          </w:p>
        </w:tc>
        <w:tc>
          <w:tcPr>
            <w:tcW w:w="6287" w:type="dxa"/>
            <w:vAlign w:val="center"/>
          </w:tcPr>
          <w:p w14:paraId="0162D1A3">
            <w:pPr>
              <w:spacing w:line="300" w:lineRule="exact"/>
              <w:jc w:val="center"/>
              <w:rPr>
                <w:rFonts w:ascii="仿宋_GB2312" w:hAnsi="仿宋_GB2312" w:eastAsia="仿宋_GB2312" w:cs="仿宋_GB2312"/>
                <w:b/>
                <w:bCs/>
                <w:sz w:val="24"/>
                <w:szCs w:val="24"/>
                <w:highlight w:val="none"/>
              </w:rPr>
            </w:pPr>
            <w:r>
              <w:rPr>
                <w:rFonts w:hint="eastAsia" w:ascii="仿宋_GB2312" w:hAnsi="仿宋_GB2312" w:eastAsia="仿宋_GB2312" w:cs="仿宋_GB2312"/>
                <w:b/>
                <w:bCs/>
                <w:sz w:val="24"/>
                <w:szCs w:val="24"/>
                <w:highlight w:val="none"/>
              </w:rPr>
              <w:t>规模及主要建设内容</w:t>
            </w:r>
          </w:p>
        </w:tc>
        <w:tc>
          <w:tcPr>
            <w:tcW w:w="1410" w:type="dxa"/>
            <w:vAlign w:val="center"/>
          </w:tcPr>
          <w:p w14:paraId="5D06DA7F">
            <w:pPr>
              <w:spacing w:line="300" w:lineRule="exact"/>
              <w:jc w:val="center"/>
              <w:rPr>
                <w:rFonts w:ascii="仿宋_GB2312" w:hAnsi="仿宋_GB2312" w:eastAsia="仿宋_GB2312" w:cs="仿宋_GB2312"/>
                <w:b/>
                <w:bCs/>
                <w:sz w:val="24"/>
                <w:szCs w:val="24"/>
                <w:highlight w:val="none"/>
              </w:rPr>
            </w:pPr>
            <w:r>
              <w:rPr>
                <w:rFonts w:hint="eastAsia" w:ascii="仿宋_GB2312" w:hAnsi="仿宋_GB2312" w:eastAsia="仿宋_GB2312" w:cs="仿宋_GB2312"/>
                <w:b/>
                <w:bCs/>
                <w:sz w:val="24"/>
                <w:szCs w:val="24"/>
                <w:highlight w:val="none"/>
              </w:rPr>
              <w:t>牵头单位</w:t>
            </w:r>
          </w:p>
        </w:tc>
        <w:tc>
          <w:tcPr>
            <w:tcW w:w="1204" w:type="dxa"/>
            <w:vAlign w:val="center"/>
          </w:tcPr>
          <w:p w14:paraId="69642CEF">
            <w:pPr>
              <w:spacing w:line="300" w:lineRule="exact"/>
              <w:jc w:val="center"/>
              <w:rPr>
                <w:rFonts w:hint="default" w:ascii="仿宋_GB2312" w:hAnsi="仿宋_GB2312" w:eastAsia="仿宋_GB2312" w:cs="仿宋_GB2312"/>
                <w:b/>
                <w:bCs/>
                <w:sz w:val="24"/>
                <w:szCs w:val="24"/>
                <w:highlight w:val="none"/>
                <w:lang w:val="en-US" w:eastAsia="zh-CN"/>
              </w:rPr>
            </w:pPr>
            <w:r>
              <w:rPr>
                <w:rFonts w:hint="eastAsia" w:ascii="仿宋_GB2312" w:hAnsi="仿宋_GB2312" w:eastAsia="仿宋_GB2312" w:cs="仿宋_GB2312"/>
                <w:b/>
                <w:bCs/>
                <w:sz w:val="24"/>
                <w:szCs w:val="24"/>
                <w:highlight w:val="none"/>
                <w:lang w:val="en-US" w:eastAsia="zh-CN"/>
              </w:rPr>
              <w:t>计划开工时间</w:t>
            </w:r>
          </w:p>
        </w:tc>
        <w:tc>
          <w:tcPr>
            <w:tcW w:w="1417" w:type="dxa"/>
            <w:vAlign w:val="center"/>
          </w:tcPr>
          <w:p w14:paraId="35CB7CF4">
            <w:pPr>
              <w:spacing w:line="300" w:lineRule="exact"/>
              <w:jc w:val="center"/>
              <w:rPr>
                <w:rFonts w:ascii="仿宋_GB2312" w:hAnsi="仿宋_GB2312" w:eastAsia="仿宋_GB2312" w:cs="仿宋_GB2312"/>
                <w:b/>
                <w:bCs/>
                <w:sz w:val="24"/>
                <w:szCs w:val="24"/>
                <w:highlight w:val="none"/>
              </w:rPr>
            </w:pPr>
            <w:r>
              <w:rPr>
                <w:rFonts w:hint="eastAsia" w:ascii="仿宋_GB2312" w:hAnsi="仿宋_GB2312" w:eastAsia="仿宋_GB2312" w:cs="仿宋_GB2312"/>
                <w:b/>
                <w:bCs/>
                <w:sz w:val="24"/>
                <w:szCs w:val="24"/>
                <w:highlight w:val="none"/>
              </w:rPr>
              <w:t>项目总投资（万元）</w:t>
            </w:r>
          </w:p>
        </w:tc>
      </w:tr>
      <w:tr w14:paraId="1C8106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10" w:type="dxa"/>
            <w:vMerge w:val="restart"/>
            <w:vAlign w:val="center"/>
          </w:tcPr>
          <w:p w14:paraId="52801818">
            <w:pPr>
              <w:spacing w:line="300" w:lineRule="exact"/>
              <w:jc w:val="center"/>
              <w:rPr>
                <w:rFonts w:hint="eastAsia" w:ascii="仿宋_GB2312" w:hAnsi="仿宋_GB2312" w:eastAsia="仿宋_GB2312" w:cs="仿宋_GB2312"/>
                <w:b/>
                <w:bCs/>
                <w:sz w:val="24"/>
                <w:szCs w:val="24"/>
                <w:highlight w:val="none"/>
                <w:lang w:val="en-US" w:eastAsia="zh-CN"/>
              </w:rPr>
            </w:pPr>
            <w:r>
              <w:rPr>
                <w:rFonts w:hint="eastAsia" w:ascii="仿宋_GB2312" w:hAnsi="仿宋_GB2312" w:eastAsia="仿宋_GB2312" w:cs="仿宋_GB2312"/>
                <w:b w:val="0"/>
                <w:bCs w:val="0"/>
                <w:sz w:val="24"/>
                <w:szCs w:val="24"/>
                <w:highlight w:val="none"/>
                <w:lang w:val="en-US" w:eastAsia="zh-CN"/>
              </w:rPr>
              <w:t>绿色低碳</w:t>
            </w:r>
          </w:p>
        </w:tc>
        <w:tc>
          <w:tcPr>
            <w:tcW w:w="454" w:type="dxa"/>
            <w:vAlign w:val="center"/>
          </w:tcPr>
          <w:p w14:paraId="0BD7C6C4">
            <w:pPr>
              <w:numPr>
                <w:ilvl w:val="0"/>
                <w:numId w:val="6"/>
              </w:numPr>
              <w:spacing w:line="286" w:lineRule="exact"/>
              <w:ind w:left="425" w:leftChars="0" w:hanging="425" w:firstLineChars="0"/>
              <w:jc w:val="center"/>
              <w:rPr>
                <w:rFonts w:hint="eastAsia" w:ascii="仿宋_GB2312" w:hAnsi="仿宋_GB2312" w:eastAsia="仿宋_GB2312" w:cs="仿宋_GB2312"/>
                <w:sz w:val="24"/>
                <w:szCs w:val="24"/>
                <w:highlight w:val="none"/>
              </w:rPr>
            </w:pPr>
          </w:p>
        </w:tc>
        <w:tc>
          <w:tcPr>
            <w:tcW w:w="1701" w:type="dxa"/>
            <w:vAlign w:val="center"/>
          </w:tcPr>
          <w:p w14:paraId="7BB319E9">
            <w:pPr>
              <w:spacing w:line="286" w:lineRule="exact"/>
              <w:jc w:val="center"/>
              <w:rPr>
                <w:rFonts w:hint="eastAsia" w:ascii="仿宋_GB2312" w:hAnsi="仿宋_GB2312" w:eastAsia="仿宋_GB2312" w:cs="仿宋_GB2312"/>
                <w:kern w:val="2"/>
                <w:sz w:val="24"/>
                <w:szCs w:val="24"/>
                <w:highlight w:val="none"/>
                <w:lang w:val="en-US" w:eastAsia="zh-CN" w:bidi="ar-SA"/>
              </w:rPr>
            </w:pPr>
            <w:r>
              <w:rPr>
                <w:rFonts w:hint="eastAsia" w:ascii="仿宋_GB2312" w:hAnsi="仿宋_GB2312" w:eastAsia="仿宋_GB2312" w:cs="仿宋_GB2312"/>
                <w:kern w:val="2"/>
                <w:sz w:val="24"/>
                <w:szCs w:val="24"/>
                <w:highlight w:val="none"/>
                <w:lang w:val="en-US" w:eastAsia="zh-CN" w:bidi="ar-SA"/>
              </w:rPr>
              <w:t>大冶特钢绿色精品特殊钢项目</w:t>
            </w:r>
          </w:p>
        </w:tc>
        <w:tc>
          <w:tcPr>
            <w:tcW w:w="1191" w:type="dxa"/>
            <w:vAlign w:val="center"/>
          </w:tcPr>
          <w:p w14:paraId="0EEB79C7">
            <w:pPr>
              <w:spacing w:line="286" w:lineRule="exact"/>
              <w:jc w:val="center"/>
              <w:rPr>
                <w:rFonts w:hint="eastAsia" w:ascii="仿宋_GB2312" w:hAnsi="仿宋_GB2312" w:eastAsia="仿宋_GB2312" w:cs="仿宋_GB2312"/>
                <w:kern w:val="2"/>
                <w:sz w:val="24"/>
                <w:szCs w:val="24"/>
                <w:highlight w:val="none"/>
                <w:lang w:val="en-US" w:eastAsia="zh-CN" w:bidi="ar-SA"/>
              </w:rPr>
            </w:pPr>
            <w:r>
              <w:rPr>
                <w:rFonts w:hint="eastAsia" w:ascii="仿宋_GB2312" w:hAnsi="仿宋_GB2312" w:eastAsia="仿宋_GB2312" w:cs="仿宋_GB2312"/>
                <w:sz w:val="24"/>
                <w:szCs w:val="24"/>
                <w:highlight w:val="none"/>
                <w:lang w:val="en-US" w:eastAsia="zh-CN"/>
              </w:rPr>
              <w:t>西塞山区</w:t>
            </w:r>
          </w:p>
        </w:tc>
        <w:tc>
          <w:tcPr>
            <w:tcW w:w="6287" w:type="dxa"/>
            <w:vAlign w:val="center"/>
          </w:tcPr>
          <w:p w14:paraId="2D910E01">
            <w:pPr>
              <w:spacing w:line="286" w:lineRule="exact"/>
              <w:jc w:val="left"/>
              <w:rPr>
                <w:rFonts w:hint="eastAsia" w:ascii="仿宋_GB2312" w:hAnsi="仿宋_GB2312" w:eastAsia="仿宋_GB2312" w:cs="仿宋_GB2312"/>
                <w:kern w:val="2"/>
                <w:sz w:val="24"/>
                <w:szCs w:val="24"/>
                <w:highlight w:val="none"/>
                <w:lang w:val="en-US" w:eastAsia="zh-CN" w:bidi="ar-SA"/>
              </w:rPr>
            </w:pPr>
            <w:r>
              <w:rPr>
                <w:rFonts w:hint="eastAsia" w:ascii="仿宋_GB2312" w:hAnsi="仿宋_GB2312" w:eastAsia="仿宋_GB2312" w:cs="仿宋_GB2312"/>
                <w:kern w:val="2"/>
                <w:sz w:val="24"/>
                <w:szCs w:val="24"/>
                <w:highlight w:val="none"/>
                <w:lang w:val="en-US" w:eastAsia="zh-CN" w:bidi="ar-SA"/>
              </w:rPr>
              <w:t>新建炼钢厂房及配套公辅设施，升级改造绿色精品钢产线，在钢管新征地新建炼钢厂房及配套电连续加料电炉、2台LF、1台VD、1套公辅设施。2.主体设备配置1台110t台连铸机（预留1台大断面连铸机），原8号炉东移，在电炉跨厂房新建1台70t连续加料电炉，拆除部分108厂房及更衣楼、食堂，改建为废钢配料厂房，拆除燃气锅炉，延伸原料跨厂房，新增1台LF炉，利旧改造2台LF炉，新建1台VD炉（机械泵），并对1号机进行改造，部分厂房进行加固，屋面板更换，还建食堂、更衣楼等。</w:t>
            </w:r>
          </w:p>
        </w:tc>
        <w:tc>
          <w:tcPr>
            <w:tcW w:w="1410" w:type="dxa"/>
            <w:vAlign w:val="center"/>
          </w:tcPr>
          <w:p w14:paraId="4107A7D7">
            <w:pPr>
              <w:spacing w:line="286" w:lineRule="exact"/>
              <w:jc w:val="center"/>
              <w:rPr>
                <w:rFonts w:hint="eastAsia" w:ascii="仿宋_GB2312" w:hAnsi="仿宋_GB2312" w:eastAsia="仿宋_GB2312" w:cs="仿宋_GB2312"/>
                <w:kern w:val="2"/>
                <w:sz w:val="24"/>
                <w:szCs w:val="24"/>
                <w:highlight w:val="none"/>
                <w:lang w:val="en-US" w:eastAsia="zh-CN" w:bidi="ar-SA"/>
              </w:rPr>
            </w:pPr>
            <w:r>
              <w:rPr>
                <w:rFonts w:hint="eastAsia" w:ascii="仿宋_GB2312" w:hAnsi="仿宋_GB2312" w:eastAsia="仿宋_GB2312" w:cs="仿宋_GB2312"/>
                <w:sz w:val="24"/>
                <w:szCs w:val="24"/>
                <w:highlight w:val="none"/>
                <w:lang w:val="en-US" w:eastAsia="zh-CN"/>
              </w:rPr>
              <w:t>市经信局</w:t>
            </w:r>
          </w:p>
        </w:tc>
        <w:tc>
          <w:tcPr>
            <w:tcW w:w="1204" w:type="dxa"/>
            <w:vAlign w:val="center"/>
          </w:tcPr>
          <w:p w14:paraId="5E680CAB">
            <w:pPr>
              <w:spacing w:line="286" w:lineRule="exact"/>
              <w:jc w:val="center"/>
              <w:rPr>
                <w:rFonts w:hint="eastAsia" w:ascii="仿宋_GB2312" w:hAnsi="仿宋_GB2312" w:eastAsia="仿宋_GB2312" w:cs="仿宋_GB2312"/>
                <w:kern w:val="2"/>
                <w:sz w:val="24"/>
                <w:szCs w:val="24"/>
                <w:highlight w:val="none"/>
                <w:lang w:val="en-US" w:eastAsia="zh-CN" w:bidi="ar-SA"/>
              </w:rPr>
            </w:pPr>
            <w:r>
              <w:rPr>
                <w:rFonts w:hint="eastAsia" w:ascii="仿宋_GB2312" w:hAnsi="仿宋_GB2312" w:eastAsia="仿宋_GB2312" w:cs="仿宋_GB2312"/>
                <w:kern w:val="2"/>
                <w:sz w:val="24"/>
                <w:szCs w:val="24"/>
                <w:highlight w:val="none"/>
                <w:lang w:val="en-US" w:eastAsia="zh-CN" w:bidi="ar-SA"/>
              </w:rPr>
              <w:t>2027</w:t>
            </w:r>
          </w:p>
        </w:tc>
        <w:tc>
          <w:tcPr>
            <w:tcW w:w="1417" w:type="dxa"/>
            <w:vAlign w:val="center"/>
          </w:tcPr>
          <w:p w14:paraId="12B07337">
            <w:pPr>
              <w:spacing w:line="286" w:lineRule="exact"/>
              <w:jc w:val="center"/>
              <w:rPr>
                <w:rFonts w:hint="eastAsia" w:ascii="仿宋_GB2312" w:hAnsi="仿宋_GB2312" w:eastAsia="仿宋_GB2312" w:cs="仿宋_GB2312"/>
                <w:kern w:val="2"/>
                <w:sz w:val="24"/>
                <w:szCs w:val="24"/>
                <w:highlight w:val="none"/>
                <w:lang w:val="en-US" w:eastAsia="zh-CN" w:bidi="ar-SA"/>
              </w:rPr>
            </w:pPr>
            <w:r>
              <w:rPr>
                <w:rFonts w:hint="eastAsia" w:ascii="仿宋_GB2312" w:hAnsi="仿宋_GB2312" w:eastAsia="仿宋_GB2312" w:cs="仿宋_GB2312"/>
                <w:kern w:val="2"/>
                <w:sz w:val="24"/>
                <w:szCs w:val="24"/>
                <w:highlight w:val="none"/>
                <w:lang w:val="en-US" w:eastAsia="zh-CN" w:bidi="ar-SA"/>
              </w:rPr>
              <w:t>158000</w:t>
            </w:r>
          </w:p>
        </w:tc>
      </w:tr>
      <w:tr w14:paraId="74C129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10" w:type="dxa"/>
            <w:vMerge w:val="continue"/>
            <w:vAlign w:val="center"/>
          </w:tcPr>
          <w:p w14:paraId="0C007209">
            <w:pPr>
              <w:spacing w:line="300" w:lineRule="exact"/>
              <w:jc w:val="center"/>
              <w:rPr>
                <w:rFonts w:hint="eastAsia" w:ascii="仿宋_GB2312" w:hAnsi="仿宋_GB2312" w:eastAsia="仿宋_GB2312" w:cs="仿宋_GB2312"/>
                <w:b/>
                <w:bCs/>
                <w:sz w:val="24"/>
                <w:szCs w:val="24"/>
                <w:highlight w:val="none"/>
              </w:rPr>
            </w:pPr>
          </w:p>
        </w:tc>
        <w:tc>
          <w:tcPr>
            <w:tcW w:w="454" w:type="dxa"/>
            <w:vAlign w:val="center"/>
          </w:tcPr>
          <w:p w14:paraId="1FA9173F">
            <w:pPr>
              <w:numPr>
                <w:ilvl w:val="0"/>
                <w:numId w:val="6"/>
              </w:numPr>
              <w:spacing w:line="286" w:lineRule="exact"/>
              <w:ind w:left="425" w:leftChars="0" w:hanging="425" w:firstLineChars="0"/>
              <w:jc w:val="center"/>
              <w:rPr>
                <w:rFonts w:hint="eastAsia" w:ascii="仿宋_GB2312" w:hAnsi="仿宋_GB2312" w:eastAsia="仿宋_GB2312" w:cs="仿宋_GB2312"/>
                <w:sz w:val="24"/>
                <w:szCs w:val="24"/>
                <w:highlight w:val="none"/>
              </w:rPr>
            </w:pPr>
          </w:p>
        </w:tc>
        <w:tc>
          <w:tcPr>
            <w:tcW w:w="1701" w:type="dxa"/>
            <w:vAlign w:val="center"/>
          </w:tcPr>
          <w:p w14:paraId="2E480DF1">
            <w:pPr>
              <w:spacing w:line="286" w:lineRule="exact"/>
              <w:jc w:val="center"/>
              <w:rPr>
                <w:rFonts w:hint="eastAsia" w:ascii="仿宋_GB2312" w:hAnsi="仿宋_GB2312" w:eastAsia="仿宋_GB2312" w:cs="仿宋_GB2312"/>
                <w:kern w:val="2"/>
                <w:sz w:val="24"/>
                <w:szCs w:val="24"/>
                <w:highlight w:val="none"/>
                <w:lang w:val="en-US" w:eastAsia="zh-CN" w:bidi="ar-SA"/>
              </w:rPr>
            </w:pPr>
            <w:r>
              <w:rPr>
                <w:rFonts w:hint="eastAsia" w:ascii="仿宋_GB2312" w:hAnsi="仿宋_GB2312" w:eastAsia="仿宋_GB2312" w:cs="仿宋_GB2312"/>
                <w:sz w:val="24"/>
                <w:szCs w:val="24"/>
                <w:highlight w:val="none"/>
              </w:rPr>
              <w:t>长江瑞科美锂电池再生循环利用项目</w:t>
            </w:r>
          </w:p>
        </w:tc>
        <w:tc>
          <w:tcPr>
            <w:tcW w:w="1191" w:type="dxa"/>
            <w:vAlign w:val="center"/>
          </w:tcPr>
          <w:p w14:paraId="64FB0D5D">
            <w:pPr>
              <w:spacing w:line="286" w:lineRule="exact"/>
              <w:jc w:val="center"/>
              <w:rPr>
                <w:rFonts w:hint="eastAsia" w:ascii="仿宋_GB2312" w:hAnsi="仿宋_GB2312" w:eastAsia="仿宋_GB2312" w:cs="仿宋_GB2312"/>
                <w:kern w:val="2"/>
                <w:sz w:val="24"/>
                <w:szCs w:val="24"/>
                <w:highlight w:val="none"/>
                <w:lang w:val="en-US" w:eastAsia="zh-CN" w:bidi="ar-SA"/>
              </w:rPr>
            </w:pPr>
            <w:r>
              <w:rPr>
                <w:rFonts w:hint="eastAsia" w:ascii="仿宋_GB2312" w:hAnsi="仿宋_GB2312" w:eastAsia="仿宋_GB2312" w:cs="仿宋_GB2312"/>
                <w:sz w:val="24"/>
                <w:szCs w:val="24"/>
                <w:highlight w:val="none"/>
                <w:lang w:val="en-US" w:eastAsia="zh-CN"/>
              </w:rPr>
              <w:t>下陆区</w:t>
            </w:r>
          </w:p>
        </w:tc>
        <w:tc>
          <w:tcPr>
            <w:tcW w:w="6287" w:type="dxa"/>
            <w:vAlign w:val="center"/>
          </w:tcPr>
          <w:p w14:paraId="423219FF">
            <w:pPr>
              <w:spacing w:line="286" w:lineRule="exact"/>
              <w:jc w:val="left"/>
              <w:rPr>
                <w:rFonts w:hint="eastAsia" w:ascii="仿宋_GB2312" w:hAnsi="仿宋_GB2312" w:eastAsia="仿宋_GB2312" w:cs="仿宋_GB2312"/>
                <w:kern w:val="2"/>
                <w:sz w:val="24"/>
                <w:szCs w:val="24"/>
                <w:highlight w:val="none"/>
                <w:lang w:val="en-US" w:eastAsia="zh-CN" w:bidi="ar-SA"/>
              </w:rPr>
            </w:pPr>
            <w:r>
              <w:rPr>
                <w:rFonts w:hint="eastAsia" w:ascii="仿宋_GB2312" w:hAnsi="仿宋_GB2312" w:eastAsia="仿宋_GB2312" w:cs="仿宋_GB2312"/>
                <w:sz w:val="24"/>
                <w:szCs w:val="24"/>
                <w:highlight w:val="none"/>
              </w:rPr>
              <w:t>项目拟建设2条电池正极材料再生利用生产线，预计年处理量2万吨废旧动力电池</w:t>
            </w:r>
            <w:r>
              <w:rPr>
                <w:rFonts w:hint="eastAsia" w:ascii="仿宋_GB2312" w:hAnsi="仿宋_GB2312" w:eastAsia="仿宋_GB2312" w:cs="仿宋_GB2312"/>
                <w:sz w:val="24"/>
                <w:szCs w:val="24"/>
                <w:highlight w:val="none"/>
                <w:lang w:eastAsia="zh-CN"/>
              </w:rPr>
              <w:t>；</w:t>
            </w:r>
            <w:r>
              <w:rPr>
                <w:rFonts w:hint="eastAsia" w:ascii="仿宋_GB2312" w:hAnsi="仿宋_GB2312" w:eastAsia="仿宋_GB2312" w:cs="仿宋_GB2312"/>
                <w:sz w:val="24"/>
                <w:szCs w:val="24"/>
                <w:highlight w:val="none"/>
              </w:rPr>
              <w:t>新建设1条年产能为0.15GWh的电池生产线。</w:t>
            </w:r>
          </w:p>
        </w:tc>
        <w:tc>
          <w:tcPr>
            <w:tcW w:w="1410" w:type="dxa"/>
            <w:vAlign w:val="center"/>
          </w:tcPr>
          <w:p w14:paraId="70966CD7">
            <w:pPr>
              <w:spacing w:line="286" w:lineRule="exact"/>
              <w:jc w:val="center"/>
              <w:rPr>
                <w:rFonts w:hint="eastAsia" w:ascii="仿宋_GB2312" w:hAnsi="仿宋_GB2312" w:eastAsia="仿宋_GB2312" w:cs="仿宋_GB2312"/>
                <w:kern w:val="2"/>
                <w:sz w:val="24"/>
                <w:szCs w:val="24"/>
                <w:highlight w:val="none"/>
                <w:lang w:val="en-US" w:eastAsia="zh-CN" w:bidi="ar-SA"/>
              </w:rPr>
            </w:pPr>
            <w:r>
              <w:rPr>
                <w:rFonts w:hint="eastAsia" w:ascii="仿宋_GB2312" w:hAnsi="仿宋_GB2312" w:eastAsia="仿宋_GB2312" w:cs="仿宋_GB2312"/>
                <w:sz w:val="24"/>
                <w:szCs w:val="24"/>
                <w:highlight w:val="none"/>
                <w:lang w:val="en-US" w:eastAsia="zh-CN"/>
              </w:rPr>
              <w:t>市经信局</w:t>
            </w:r>
          </w:p>
        </w:tc>
        <w:tc>
          <w:tcPr>
            <w:tcW w:w="1204" w:type="dxa"/>
            <w:vAlign w:val="center"/>
          </w:tcPr>
          <w:p w14:paraId="58EE2467">
            <w:pPr>
              <w:spacing w:line="286" w:lineRule="exact"/>
              <w:jc w:val="center"/>
              <w:rPr>
                <w:rFonts w:hint="eastAsia" w:ascii="仿宋_GB2312" w:hAnsi="仿宋_GB2312" w:eastAsia="仿宋_GB2312" w:cs="仿宋_GB2312"/>
                <w:kern w:val="2"/>
                <w:sz w:val="24"/>
                <w:szCs w:val="24"/>
                <w:highlight w:val="none"/>
                <w:lang w:val="en-US" w:eastAsia="zh-CN" w:bidi="ar-SA"/>
              </w:rPr>
            </w:pPr>
            <w:r>
              <w:rPr>
                <w:rFonts w:hint="eastAsia" w:ascii="仿宋_GB2312" w:hAnsi="仿宋_GB2312" w:eastAsia="仿宋_GB2312" w:cs="仿宋_GB2312"/>
                <w:sz w:val="24"/>
                <w:szCs w:val="24"/>
                <w:highlight w:val="none"/>
                <w:lang w:val="en-US" w:eastAsia="zh-CN"/>
              </w:rPr>
              <w:t>2025</w:t>
            </w:r>
          </w:p>
        </w:tc>
        <w:tc>
          <w:tcPr>
            <w:tcW w:w="1417" w:type="dxa"/>
            <w:vAlign w:val="center"/>
          </w:tcPr>
          <w:p w14:paraId="21DE4667">
            <w:pPr>
              <w:spacing w:line="286" w:lineRule="exact"/>
              <w:jc w:val="center"/>
              <w:rPr>
                <w:rFonts w:hint="eastAsia" w:ascii="仿宋_GB2312" w:hAnsi="仿宋_GB2312" w:eastAsia="仿宋_GB2312" w:cs="仿宋_GB2312"/>
                <w:kern w:val="2"/>
                <w:sz w:val="24"/>
                <w:szCs w:val="24"/>
                <w:highlight w:val="none"/>
                <w:lang w:val="en-US" w:eastAsia="zh-CN" w:bidi="ar-SA"/>
              </w:rPr>
            </w:pPr>
            <w:r>
              <w:rPr>
                <w:rFonts w:hint="eastAsia" w:ascii="仿宋_GB2312" w:hAnsi="仿宋_GB2312" w:eastAsia="仿宋_GB2312" w:cs="仿宋_GB2312"/>
                <w:sz w:val="24"/>
                <w:szCs w:val="24"/>
                <w:highlight w:val="none"/>
                <w:lang w:val="en-US" w:eastAsia="zh-CN"/>
              </w:rPr>
              <w:t>50000</w:t>
            </w:r>
          </w:p>
        </w:tc>
      </w:tr>
      <w:tr w14:paraId="4D83A4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10" w:type="dxa"/>
            <w:vMerge w:val="continue"/>
            <w:vAlign w:val="center"/>
          </w:tcPr>
          <w:p w14:paraId="2BC81D93">
            <w:pPr>
              <w:spacing w:line="300" w:lineRule="exact"/>
              <w:jc w:val="center"/>
              <w:rPr>
                <w:rFonts w:hint="eastAsia" w:ascii="仿宋_GB2312" w:hAnsi="仿宋_GB2312" w:eastAsia="仿宋_GB2312" w:cs="仿宋_GB2312"/>
                <w:b/>
                <w:bCs/>
                <w:sz w:val="24"/>
                <w:szCs w:val="24"/>
                <w:highlight w:val="none"/>
              </w:rPr>
            </w:pPr>
          </w:p>
        </w:tc>
        <w:tc>
          <w:tcPr>
            <w:tcW w:w="454" w:type="dxa"/>
            <w:vAlign w:val="center"/>
          </w:tcPr>
          <w:p w14:paraId="7FADA28E">
            <w:pPr>
              <w:numPr>
                <w:ilvl w:val="0"/>
                <w:numId w:val="6"/>
              </w:numPr>
              <w:spacing w:line="286" w:lineRule="exact"/>
              <w:ind w:left="425" w:leftChars="0" w:hanging="425" w:firstLineChars="0"/>
              <w:jc w:val="center"/>
              <w:rPr>
                <w:rFonts w:hint="eastAsia" w:ascii="仿宋_GB2312" w:hAnsi="仿宋_GB2312" w:eastAsia="仿宋_GB2312" w:cs="仿宋_GB2312"/>
                <w:sz w:val="24"/>
                <w:szCs w:val="24"/>
                <w:highlight w:val="none"/>
              </w:rPr>
            </w:pPr>
          </w:p>
        </w:tc>
        <w:tc>
          <w:tcPr>
            <w:tcW w:w="1701" w:type="dxa"/>
            <w:vAlign w:val="center"/>
          </w:tcPr>
          <w:p w14:paraId="52A28D98">
            <w:pPr>
              <w:spacing w:line="286" w:lineRule="exact"/>
              <w:jc w:val="center"/>
              <w:rPr>
                <w:rFonts w:hint="eastAsia" w:ascii="仿宋_GB2312" w:hAnsi="仿宋_GB2312" w:eastAsia="仿宋_GB2312" w:cs="仿宋_GB2312"/>
                <w:kern w:val="2"/>
                <w:sz w:val="24"/>
                <w:szCs w:val="24"/>
                <w:highlight w:val="none"/>
                <w:lang w:val="en-US" w:eastAsia="zh-CN" w:bidi="ar-SA"/>
              </w:rPr>
            </w:pPr>
            <w:r>
              <w:rPr>
                <w:rFonts w:hint="eastAsia" w:ascii="仿宋_GB2312" w:hAnsi="仿宋_GB2312" w:eastAsia="仿宋_GB2312" w:cs="仿宋_GB2312"/>
                <w:sz w:val="24"/>
                <w:szCs w:val="24"/>
                <w:highlight w:val="none"/>
              </w:rPr>
              <w:t>和缘制造特种合金制品制造及智能化转型升级项目</w:t>
            </w:r>
          </w:p>
        </w:tc>
        <w:tc>
          <w:tcPr>
            <w:tcW w:w="1191" w:type="dxa"/>
            <w:vAlign w:val="center"/>
          </w:tcPr>
          <w:p w14:paraId="0ED7F54A">
            <w:pPr>
              <w:spacing w:line="286" w:lineRule="exact"/>
              <w:jc w:val="center"/>
              <w:rPr>
                <w:rFonts w:hint="eastAsia" w:ascii="仿宋_GB2312" w:hAnsi="仿宋_GB2312" w:eastAsia="仿宋_GB2312" w:cs="仿宋_GB2312"/>
                <w:kern w:val="2"/>
                <w:sz w:val="24"/>
                <w:szCs w:val="24"/>
                <w:highlight w:val="none"/>
                <w:lang w:val="en-US" w:eastAsia="zh-CN" w:bidi="ar-SA"/>
              </w:rPr>
            </w:pPr>
            <w:r>
              <w:rPr>
                <w:rFonts w:hint="eastAsia" w:ascii="仿宋_GB2312" w:hAnsi="仿宋_GB2312" w:eastAsia="仿宋_GB2312" w:cs="仿宋_GB2312"/>
                <w:sz w:val="24"/>
                <w:szCs w:val="24"/>
                <w:highlight w:val="none"/>
                <w:lang w:val="en-US" w:eastAsia="zh-CN"/>
              </w:rPr>
              <w:t>西塞山区</w:t>
            </w:r>
          </w:p>
        </w:tc>
        <w:tc>
          <w:tcPr>
            <w:tcW w:w="6287" w:type="dxa"/>
            <w:vAlign w:val="center"/>
          </w:tcPr>
          <w:p w14:paraId="039C1106">
            <w:pPr>
              <w:spacing w:line="286" w:lineRule="exact"/>
              <w:jc w:val="left"/>
              <w:rPr>
                <w:rFonts w:hint="eastAsia" w:ascii="仿宋_GB2312" w:hAnsi="仿宋_GB2312" w:eastAsia="仿宋_GB2312" w:cs="仿宋_GB2312"/>
                <w:kern w:val="2"/>
                <w:sz w:val="24"/>
                <w:szCs w:val="24"/>
                <w:highlight w:val="none"/>
                <w:lang w:val="en-US" w:eastAsia="zh-CN" w:bidi="ar-SA"/>
              </w:rPr>
            </w:pPr>
            <w:r>
              <w:rPr>
                <w:rFonts w:hint="eastAsia" w:ascii="仿宋_GB2312" w:hAnsi="仿宋_GB2312" w:eastAsia="仿宋_GB2312" w:cs="仿宋_GB2312"/>
                <w:sz w:val="24"/>
                <w:szCs w:val="24"/>
                <w:highlight w:val="none"/>
                <w:lang w:val="en-US" w:eastAsia="zh-CN"/>
              </w:rPr>
              <w:t>项目占地约80亩，建设年产3.2万吨高端模具、轧钢、风电主轴及环件、钢管芯棒等产品生产线。购置15吨中频炉1台套、15吨精炼炉2台、电渣重熔炉9台等机械加工设备合计130台套。工艺流程：熔炼-精炼-电渣重熔-锻造-热处理精加工-机械零部件制作-近终型或终端产品。</w:t>
            </w:r>
          </w:p>
        </w:tc>
        <w:tc>
          <w:tcPr>
            <w:tcW w:w="1410" w:type="dxa"/>
            <w:vAlign w:val="center"/>
          </w:tcPr>
          <w:p w14:paraId="20179E1B">
            <w:pPr>
              <w:spacing w:line="286" w:lineRule="exact"/>
              <w:jc w:val="center"/>
              <w:rPr>
                <w:rFonts w:hint="eastAsia" w:ascii="仿宋_GB2312" w:hAnsi="仿宋_GB2312" w:eastAsia="仿宋_GB2312" w:cs="仿宋_GB2312"/>
                <w:kern w:val="2"/>
                <w:sz w:val="24"/>
                <w:szCs w:val="24"/>
                <w:highlight w:val="none"/>
                <w:lang w:val="en-US" w:eastAsia="zh-CN" w:bidi="ar-SA"/>
              </w:rPr>
            </w:pPr>
            <w:r>
              <w:rPr>
                <w:rFonts w:hint="eastAsia" w:ascii="仿宋_GB2312" w:hAnsi="仿宋_GB2312" w:eastAsia="仿宋_GB2312" w:cs="仿宋_GB2312"/>
                <w:sz w:val="24"/>
                <w:szCs w:val="24"/>
                <w:highlight w:val="none"/>
                <w:lang w:val="en-US" w:eastAsia="zh-CN"/>
              </w:rPr>
              <w:t>市经信局</w:t>
            </w:r>
          </w:p>
        </w:tc>
        <w:tc>
          <w:tcPr>
            <w:tcW w:w="1204" w:type="dxa"/>
            <w:vAlign w:val="center"/>
          </w:tcPr>
          <w:p w14:paraId="1D9D5A04">
            <w:pPr>
              <w:spacing w:line="286" w:lineRule="exact"/>
              <w:jc w:val="center"/>
              <w:rPr>
                <w:rFonts w:hint="eastAsia" w:ascii="仿宋_GB2312" w:hAnsi="仿宋_GB2312" w:eastAsia="仿宋_GB2312" w:cs="仿宋_GB2312"/>
                <w:kern w:val="2"/>
                <w:sz w:val="24"/>
                <w:szCs w:val="24"/>
                <w:highlight w:val="none"/>
                <w:lang w:val="en-US" w:eastAsia="zh-CN" w:bidi="ar-SA"/>
              </w:rPr>
            </w:pPr>
            <w:r>
              <w:rPr>
                <w:rFonts w:hint="eastAsia" w:ascii="仿宋_GB2312" w:hAnsi="仿宋_GB2312" w:eastAsia="仿宋_GB2312" w:cs="仿宋_GB2312"/>
                <w:sz w:val="24"/>
                <w:szCs w:val="24"/>
                <w:highlight w:val="none"/>
                <w:lang w:val="en-US" w:eastAsia="zh-CN"/>
              </w:rPr>
              <w:t>2026</w:t>
            </w:r>
          </w:p>
        </w:tc>
        <w:tc>
          <w:tcPr>
            <w:tcW w:w="1417" w:type="dxa"/>
            <w:vAlign w:val="center"/>
          </w:tcPr>
          <w:p w14:paraId="52D0602C">
            <w:pPr>
              <w:spacing w:line="286" w:lineRule="exact"/>
              <w:jc w:val="center"/>
              <w:rPr>
                <w:rFonts w:hint="eastAsia" w:ascii="仿宋_GB2312" w:hAnsi="仿宋_GB2312" w:eastAsia="仿宋_GB2312" w:cs="仿宋_GB2312"/>
                <w:kern w:val="2"/>
                <w:sz w:val="24"/>
                <w:szCs w:val="24"/>
                <w:highlight w:val="none"/>
                <w:lang w:val="en-US" w:eastAsia="zh-CN" w:bidi="ar-SA"/>
              </w:rPr>
            </w:pPr>
            <w:r>
              <w:rPr>
                <w:rFonts w:hint="eastAsia" w:ascii="仿宋_GB2312" w:hAnsi="仿宋_GB2312" w:eastAsia="仿宋_GB2312" w:cs="仿宋_GB2312"/>
                <w:sz w:val="24"/>
                <w:szCs w:val="24"/>
                <w:highlight w:val="none"/>
                <w:lang w:val="en-US" w:eastAsia="zh-CN"/>
              </w:rPr>
              <w:t>50000</w:t>
            </w:r>
          </w:p>
        </w:tc>
      </w:tr>
      <w:tr w14:paraId="631EA8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10" w:type="dxa"/>
            <w:vMerge w:val="continue"/>
            <w:vAlign w:val="center"/>
          </w:tcPr>
          <w:p w14:paraId="3088CA16">
            <w:pPr>
              <w:spacing w:line="300" w:lineRule="exact"/>
              <w:jc w:val="center"/>
              <w:rPr>
                <w:rFonts w:hint="eastAsia" w:ascii="仿宋_GB2312" w:hAnsi="仿宋_GB2312" w:eastAsia="仿宋_GB2312" w:cs="仿宋_GB2312"/>
                <w:b/>
                <w:bCs/>
                <w:sz w:val="24"/>
                <w:szCs w:val="24"/>
                <w:highlight w:val="none"/>
              </w:rPr>
            </w:pPr>
          </w:p>
        </w:tc>
        <w:tc>
          <w:tcPr>
            <w:tcW w:w="454" w:type="dxa"/>
            <w:vAlign w:val="center"/>
          </w:tcPr>
          <w:p w14:paraId="74C1B7D2">
            <w:pPr>
              <w:numPr>
                <w:ilvl w:val="0"/>
                <w:numId w:val="6"/>
              </w:numPr>
              <w:spacing w:line="286" w:lineRule="exact"/>
              <w:ind w:left="425" w:leftChars="0" w:hanging="425" w:firstLineChars="0"/>
              <w:jc w:val="center"/>
              <w:rPr>
                <w:rFonts w:hint="eastAsia" w:ascii="仿宋_GB2312" w:hAnsi="仿宋_GB2312" w:eastAsia="仿宋_GB2312" w:cs="仿宋_GB2312"/>
                <w:sz w:val="24"/>
                <w:szCs w:val="24"/>
                <w:highlight w:val="none"/>
              </w:rPr>
            </w:pPr>
          </w:p>
        </w:tc>
        <w:tc>
          <w:tcPr>
            <w:tcW w:w="1701" w:type="dxa"/>
            <w:vAlign w:val="center"/>
          </w:tcPr>
          <w:p w14:paraId="195F2B9C">
            <w:pPr>
              <w:spacing w:line="286" w:lineRule="exact"/>
              <w:jc w:val="center"/>
              <w:rPr>
                <w:rFonts w:hint="eastAsia" w:ascii="仿宋_GB2312" w:hAnsi="仿宋_GB2312" w:eastAsia="仿宋_GB2312" w:cs="仿宋_GB2312"/>
                <w:kern w:val="2"/>
                <w:sz w:val="24"/>
                <w:szCs w:val="24"/>
                <w:highlight w:val="none"/>
                <w:lang w:val="en-US" w:eastAsia="zh-CN" w:bidi="ar-SA"/>
              </w:rPr>
            </w:pPr>
            <w:r>
              <w:rPr>
                <w:rFonts w:hint="eastAsia" w:ascii="仿宋_GB2312" w:hAnsi="仿宋_GB2312" w:eastAsia="仿宋_GB2312" w:cs="仿宋_GB2312"/>
                <w:sz w:val="24"/>
                <w:szCs w:val="24"/>
                <w:highlight w:val="none"/>
              </w:rPr>
              <w:t>山力科技高端装备绿色智造</w:t>
            </w:r>
            <w:r>
              <w:rPr>
                <w:rFonts w:hint="eastAsia" w:ascii="仿宋_GB2312" w:hAnsi="仿宋_GB2312" w:eastAsia="仿宋_GB2312" w:cs="仿宋_GB2312"/>
                <w:sz w:val="24"/>
                <w:szCs w:val="24"/>
                <w:highlight w:val="none"/>
                <w:lang w:val="en-US" w:eastAsia="zh-CN"/>
              </w:rPr>
              <w:t>项目</w:t>
            </w:r>
          </w:p>
        </w:tc>
        <w:tc>
          <w:tcPr>
            <w:tcW w:w="1191" w:type="dxa"/>
            <w:vAlign w:val="center"/>
          </w:tcPr>
          <w:p w14:paraId="7274FF6C">
            <w:pPr>
              <w:spacing w:line="286" w:lineRule="exact"/>
              <w:jc w:val="center"/>
              <w:rPr>
                <w:rFonts w:hint="eastAsia" w:ascii="仿宋_GB2312" w:hAnsi="仿宋_GB2312" w:eastAsia="仿宋_GB2312" w:cs="仿宋_GB2312"/>
                <w:kern w:val="2"/>
                <w:sz w:val="24"/>
                <w:szCs w:val="24"/>
                <w:highlight w:val="none"/>
                <w:lang w:val="en-US" w:eastAsia="zh-CN" w:bidi="ar-SA"/>
              </w:rPr>
            </w:pPr>
            <w:r>
              <w:rPr>
                <w:rFonts w:hint="eastAsia" w:ascii="仿宋_GB2312" w:hAnsi="仿宋_GB2312" w:eastAsia="仿宋_GB2312" w:cs="仿宋_GB2312"/>
                <w:sz w:val="24"/>
                <w:szCs w:val="24"/>
                <w:highlight w:val="none"/>
                <w:lang w:val="en-US" w:eastAsia="zh-CN"/>
              </w:rPr>
              <w:t>下陆区</w:t>
            </w:r>
          </w:p>
        </w:tc>
        <w:tc>
          <w:tcPr>
            <w:tcW w:w="6287" w:type="dxa"/>
            <w:vAlign w:val="center"/>
          </w:tcPr>
          <w:p w14:paraId="67F12F01">
            <w:pPr>
              <w:spacing w:line="286" w:lineRule="exact"/>
              <w:jc w:val="left"/>
              <w:rPr>
                <w:rFonts w:hint="eastAsia" w:ascii="仿宋_GB2312" w:hAnsi="仿宋_GB2312" w:eastAsia="仿宋_GB2312" w:cs="仿宋_GB2312"/>
                <w:kern w:val="2"/>
                <w:sz w:val="24"/>
                <w:szCs w:val="24"/>
                <w:highlight w:val="none"/>
                <w:lang w:val="en-US" w:eastAsia="zh-CN" w:bidi="ar-SA"/>
              </w:rPr>
            </w:pPr>
            <w:r>
              <w:rPr>
                <w:rFonts w:hint="eastAsia" w:ascii="仿宋_GB2312" w:hAnsi="仿宋_GB2312" w:eastAsia="仿宋_GB2312" w:cs="仿宋_GB2312"/>
                <w:sz w:val="24"/>
                <w:szCs w:val="24"/>
                <w:highlight w:val="none"/>
                <w:lang w:val="en-US" w:eastAsia="zh-CN"/>
              </w:rPr>
              <w:t>项目占地面积600亩，共涉及新建和改造厂房约85000m，主要新增板带处理加工、精密机加工等生产设备，配套建设厂区道路、管网、绿化及光伏工程。</w:t>
            </w:r>
          </w:p>
        </w:tc>
        <w:tc>
          <w:tcPr>
            <w:tcW w:w="1410" w:type="dxa"/>
            <w:vAlign w:val="center"/>
          </w:tcPr>
          <w:p w14:paraId="2EB01174">
            <w:pPr>
              <w:spacing w:line="286" w:lineRule="exact"/>
              <w:jc w:val="center"/>
              <w:rPr>
                <w:rFonts w:hint="eastAsia" w:ascii="仿宋_GB2312" w:hAnsi="仿宋_GB2312" w:eastAsia="仿宋_GB2312" w:cs="仿宋_GB2312"/>
                <w:kern w:val="2"/>
                <w:sz w:val="24"/>
                <w:szCs w:val="24"/>
                <w:highlight w:val="none"/>
                <w:lang w:val="en-US" w:eastAsia="zh-CN" w:bidi="ar-SA"/>
              </w:rPr>
            </w:pPr>
            <w:r>
              <w:rPr>
                <w:rFonts w:hint="eastAsia" w:ascii="仿宋_GB2312" w:hAnsi="仿宋_GB2312" w:eastAsia="仿宋_GB2312" w:cs="仿宋_GB2312"/>
                <w:sz w:val="24"/>
                <w:szCs w:val="24"/>
                <w:highlight w:val="none"/>
                <w:lang w:val="en-US" w:eastAsia="zh-CN"/>
              </w:rPr>
              <w:t>市经信局</w:t>
            </w:r>
          </w:p>
        </w:tc>
        <w:tc>
          <w:tcPr>
            <w:tcW w:w="1204" w:type="dxa"/>
            <w:vAlign w:val="center"/>
          </w:tcPr>
          <w:p w14:paraId="73B60128">
            <w:pPr>
              <w:spacing w:line="286" w:lineRule="exact"/>
              <w:jc w:val="center"/>
              <w:rPr>
                <w:rFonts w:hint="eastAsia" w:ascii="仿宋_GB2312" w:hAnsi="仿宋_GB2312" w:eastAsia="仿宋_GB2312" w:cs="仿宋_GB2312"/>
                <w:kern w:val="2"/>
                <w:sz w:val="24"/>
                <w:szCs w:val="24"/>
                <w:highlight w:val="none"/>
                <w:lang w:val="en-US" w:eastAsia="zh-CN" w:bidi="ar-SA"/>
              </w:rPr>
            </w:pPr>
            <w:r>
              <w:rPr>
                <w:rFonts w:hint="eastAsia" w:ascii="仿宋_GB2312" w:hAnsi="仿宋_GB2312" w:eastAsia="仿宋_GB2312" w:cs="仿宋_GB2312"/>
                <w:sz w:val="24"/>
                <w:szCs w:val="24"/>
                <w:highlight w:val="none"/>
                <w:lang w:val="en-US" w:eastAsia="zh-CN"/>
              </w:rPr>
              <w:t>2026</w:t>
            </w:r>
          </w:p>
        </w:tc>
        <w:tc>
          <w:tcPr>
            <w:tcW w:w="1417" w:type="dxa"/>
            <w:vAlign w:val="center"/>
          </w:tcPr>
          <w:p w14:paraId="33EFC1DF">
            <w:pPr>
              <w:spacing w:line="286" w:lineRule="exact"/>
              <w:jc w:val="center"/>
              <w:rPr>
                <w:rFonts w:hint="eastAsia" w:ascii="仿宋_GB2312" w:hAnsi="仿宋_GB2312" w:eastAsia="仿宋_GB2312" w:cs="仿宋_GB2312"/>
                <w:kern w:val="2"/>
                <w:sz w:val="24"/>
                <w:szCs w:val="24"/>
                <w:highlight w:val="none"/>
                <w:lang w:val="en-US" w:eastAsia="zh-CN" w:bidi="ar-SA"/>
              </w:rPr>
            </w:pPr>
            <w:r>
              <w:rPr>
                <w:rFonts w:hint="eastAsia" w:ascii="仿宋_GB2312" w:hAnsi="仿宋_GB2312" w:eastAsia="仿宋_GB2312" w:cs="仿宋_GB2312"/>
                <w:sz w:val="24"/>
                <w:szCs w:val="24"/>
                <w:highlight w:val="none"/>
                <w:lang w:val="en-US" w:eastAsia="zh-CN"/>
              </w:rPr>
              <w:t>200000</w:t>
            </w:r>
          </w:p>
        </w:tc>
      </w:tr>
      <w:tr w14:paraId="7C746E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10" w:type="dxa"/>
            <w:vMerge w:val="continue"/>
            <w:vAlign w:val="center"/>
          </w:tcPr>
          <w:p w14:paraId="407941BD">
            <w:pPr>
              <w:spacing w:line="300" w:lineRule="exact"/>
              <w:jc w:val="center"/>
              <w:rPr>
                <w:rFonts w:hint="eastAsia" w:ascii="仿宋_GB2312" w:hAnsi="仿宋_GB2312" w:eastAsia="仿宋_GB2312" w:cs="仿宋_GB2312"/>
                <w:b/>
                <w:bCs/>
                <w:sz w:val="24"/>
                <w:szCs w:val="24"/>
                <w:highlight w:val="none"/>
              </w:rPr>
            </w:pPr>
          </w:p>
        </w:tc>
        <w:tc>
          <w:tcPr>
            <w:tcW w:w="454" w:type="dxa"/>
            <w:vAlign w:val="center"/>
          </w:tcPr>
          <w:p w14:paraId="0B766102">
            <w:pPr>
              <w:numPr>
                <w:ilvl w:val="0"/>
                <w:numId w:val="6"/>
              </w:numPr>
              <w:spacing w:line="286" w:lineRule="exact"/>
              <w:ind w:left="425" w:leftChars="0" w:hanging="425" w:firstLineChars="0"/>
              <w:jc w:val="center"/>
              <w:rPr>
                <w:rFonts w:hint="eastAsia" w:ascii="仿宋_GB2312" w:hAnsi="仿宋_GB2312" w:eastAsia="仿宋_GB2312" w:cs="仿宋_GB2312"/>
                <w:sz w:val="24"/>
                <w:szCs w:val="24"/>
                <w:highlight w:val="none"/>
              </w:rPr>
            </w:pPr>
          </w:p>
        </w:tc>
        <w:tc>
          <w:tcPr>
            <w:tcW w:w="1701" w:type="dxa"/>
            <w:vAlign w:val="center"/>
          </w:tcPr>
          <w:p w14:paraId="2F652BE7">
            <w:pPr>
              <w:spacing w:line="286" w:lineRule="exact"/>
              <w:jc w:val="center"/>
              <w:rPr>
                <w:rFonts w:hint="eastAsia" w:ascii="仿宋_GB2312" w:hAnsi="仿宋_GB2312" w:eastAsia="仿宋_GB2312" w:cs="仿宋_GB2312"/>
                <w:sz w:val="24"/>
                <w:szCs w:val="24"/>
                <w:highlight w:val="none"/>
                <w:lang w:val="en-US" w:eastAsia="zh-CN"/>
              </w:rPr>
            </w:pPr>
            <w:r>
              <w:rPr>
                <w:rFonts w:hint="eastAsia" w:ascii="仿宋_GB2312" w:hAnsi="仿宋_GB2312" w:eastAsia="仿宋_GB2312" w:cs="仿宋_GB2312"/>
                <w:sz w:val="24"/>
                <w:szCs w:val="24"/>
                <w:highlight w:val="none"/>
              </w:rPr>
              <w:t>东耀环保新型复合绿色建材</w:t>
            </w:r>
            <w:r>
              <w:rPr>
                <w:rFonts w:hint="eastAsia" w:ascii="仿宋_GB2312" w:hAnsi="仿宋_GB2312" w:eastAsia="仿宋_GB2312" w:cs="仿宋_GB2312"/>
                <w:sz w:val="24"/>
                <w:szCs w:val="24"/>
                <w:highlight w:val="none"/>
                <w:lang w:val="en-US" w:eastAsia="zh-CN"/>
              </w:rPr>
              <w:t>项目</w:t>
            </w:r>
          </w:p>
        </w:tc>
        <w:tc>
          <w:tcPr>
            <w:tcW w:w="1191" w:type="dxa"/>
            <w:vAlign w:val="center"/>
          </w:tcPr>
          <w:p w14:paraId="1F8C4A03">
            <w:pPr>
              <w:spacing w:line="286" w:lineRule="exact"/>
              <w:jc w:val="center"/>
              <w:rPr>
                <w:rFonts w:hint="eastAsia" w:ascii="仿宋_GB2312" w:hAnsi="仿宋_GB2312" w:eastAsia="仿宋_GB2312" w:cs="仿宋_GB2312"/>
                <w:sz w:val="24"/>
                <w:szCs w:val="24"/>
                <w:highlight w:val="none"/>
                <w:lang w:val="en-US" w:eastAsia="zh-CN"/>
              </w:rPr>
            </w:pPr>
            <w:r>
              <w:rPr>
                <w:rFonts w:hint="eastAsia" w:ascii="仿宋_GB2312" w:hAnsi="仿宋_GB2312" w:eastAsia="仿宋_GB2312" w:cs="仿宋_GB2312"/>
                <w:sz w:val="24"/>
                <w:szCs w:val="24"/>
                <w:highlight w:val="none"/>
                <w:lang w:val="en-US" w:eastAsia="zh-CN"/>
              </w:rPr>
              <w:t>新港园区</w:t>
            </w:r>
          </w:p>
        </w:tc>
        <w:tc>
          <w:tcPr>
            <w:tcW w:w="6287" w:type="dxa"/>
            <w:vAlign w:val="center"/>
          </w:tcPr>
          <w:p w14:paraId="599808FB">
            <w:pPr>
              <w:spacing w:line="286" w:lineRule="exact"/>
              <w:jc w:val="left"/>
              <w:rPr>
                <w:rFonts w:hint="eastAsia" w:ascii="仿宋_GB2312" w:hAnsi="仿宋_GB2312" w:eastAsia="仿宋_GB2312" w:cs="仿宋_GB2312"/>
                <w:sz w:val="24"/>
                <w:szCs w:val="24"/>
                <w:highlight w:val="none"/>
                <w:lang w:val="en-US" w:eastAsia="zh-CN"/>
              </w:rPr>
            </w:pPr>
            <w:r>
              <w:rPr>
                <w:rFonts w:hint="eastAsia" w:ascii="仿宋_GB2312" w:hAnsi="仿宋_GB2312" w:eastAsia="仿宋_GB2312" w:cs="仿宋_GB2312"/>
                <w:sz w:val="24"/>
                <w:szCs w:val="24"/>
                <w:highlight w:val="none"/>
                <w:lang w:val="en-US" w:eastAsia="zh-CN"/>
              </w:rPr>
              <w:t>1600m</w:t>
            </w:r>
            <w:r>
              <w:rPr>
                <w:rFonts w:hint="eastAsia" w:ascii="仿宋_GB2312" w:hAnsi="仿宋_GB2312" w:eastAsia="仿宋_GB2312" w:cs="仿宋_GB2312"/>
                <w:sz w:val="24"/>
                <w:szCs w:val="24"/>
                <w:highlight w:val="none"/>
                <w:vertAlign w:val="superscript"/>
                <w:lang w:val="en-US" w:eastAsia="zh-CN"/>
              </w:rPr>
              <w:t>2</w:t>
            </w:r>
            <w:r>
              <w:rPr>
                <w:rFonts w:hint="eastAsia" w:ascii="仿宋_GB2312" w:hAnsi="仿宋_GB2312" w:eastAsia="仿宋_GB2312" w:cs="仿宋_GB2312"/>
                <w:sz w:val="24"/>
                <w:szCs w:val="24"/>
                <w:highlight w:val="none"/>
                <w:lang w:val="en-US" w:eastAsia="zh-CN"/>
              </w:rPr>
              <w:t>的原料车间、10000m</w:t>
            </w:r>
            <w:r>
              <w:rPr>
                <w:rFonts w:hint="eastAsia" w:ascii="仿宋_GB2312" w:hAnsi="仿宋_GB2312" w:eastAsia="仿宋_GB2312" w:cs="仿宋_GB2312"/>
                <w:sz w:val="24"/>
                <w:szCs w:val="24"/>
                <w:highlight w:val="none"/>
                <w:vertAlign w:val="superscript"/>
                <w:lang w:val="en-US" w:eastAsia="zh-CN"/>
              </w:rPr>
              <w:t>2</w:t>
            </w:r>
            <w:r>
              <w:rPr>
                <w:rFonts w:hint="eastAsia" w:ascii="仿宋_GB2312" w:hAnsi="仿宋_GB2312" w:eastAsia="仿宋_GB2312" w:cs="仿宋_GB2312"/>
                <w:sz w:val="24"/>
                <w:szCs w:val="24"/>
                <w:highlight w:val="none"/>
                <w:lang w:val="en-US" w:eastAsia="zh-CN"/>
              </w:rPr>
              <w:t>的生产车间、600m</w:t>
            </w:r>
            <w:r>
              <w:rPr>
                <w:rFonts w:hint="eastAsia" w:ascii="仿宋_GB2312" w:hAnsi="仿宋_GB2312" w:eastAsia="仿宋_GB2312" w:cs="仿宋_GB2312"/>
                <w:sz w:val="24"/>
                <w:szCs w:val="24"/>
                <w:highlight w:val="none"/>
                <w:vertAlign w:val="superscript"/>
                <w:lang w:val="en-US" w:eastAsia="zh-CN"/>
              </w:rPr>
              <w:t>2</w:t>
            </w:r>
            <w:r>
              <w:rPr>
                <w:rFonts w:hint="eastAsia" w:ascii="仿宋_GB2312" w:hAnsi="仿宋_GB2312" w:eastAsia="仿宋_GB2312" w:cs="仿宋_GB2312"/>
                <w:sz w:val="24"/>
                <w:szCs w:val="24"/>
                <w:highlight w:val="none"/>
                <w:lang w:val="en-US" w:eastAsia="zh-CN"/>
              </w:rPr>
              <w:t>的能源动力车间、2000m</w:t>
            </w:r>
            <w:r>
              <w:rPr>
                <w:rFonts w:hint="eastAsia" w:ascii="仿宋_GB2312" w:hAnsi="仿宋_GB2312" w:eastAsia="仿宋_GB2312" w:cs="仿宋_GB2312"/>
                <w:sz w:val="24"/>
                <w:szCs w:val="24"/>
                <w:highlight w:val="none"/>
                <w:vertAlign w:val="superscript"/>
                <w:lang w:val="en-US" w:eastAsia="zh-CN"/>
              </w:rPr>
              <w:t>2</w:t>
            </w:r>
            <w:r>
              <w:rPr>
                <w:rFonts w:hint="eastAsia" w:ascii="仿宋_GB2312" w:hAnsi="仿宋_GB2312" w:eastAsia="仿宋_GB2312" w:cs="仿宋_GB2312"/>
                <w:sz w:val="24"/>
                <w:szCs w:val="24"/>
                <w:highlight w:val="none"/>
                <w:lang w:val="en-US" w:eastAsia="zh-CN"/>
              </w:rPr>
              <w:t>的产品包装车间、5300m</w:t>
            </w:r>
            <w:r>
              <w:rPr>
                <w:rFonts w:hint="eastAsia" w:ascii="仿宋_GB2312" w:hAnsi="仿宋_GB2312" w:eastAsia="仿宋_GB2312" w:cs="仿宋_GB2312"/>
                <w:sz w:val="24"/>
                <w:szCs w:val="24"/>
                <w:highlight w:val="none"/>
                <w:vertAlign w:val="superscript"/>
                <w:lang w:val="en-US" w:eastAsia="zh-CN"/>
              </w:rPr>
              <w:t>2</w:t>
            </w:r>
            <w:r>
              <w:rPr>
                <w:rFonts w:hint="eastAsia" w:ascii="仿宋_GB2312" w:hAnsi="仿宋_GB2312" w:eastAsia="仿宋_GB2312" w:cs="仿宋_GB2312"/>
                <w:sz w:val="24"/>
                <w:szCs w:val="24"/>
                <w:highlight w:val="none"/>
                <w:lang w:val="en-US" w:eastAsia="zh-CN"/>
              </w:rPr>
              <w:t>的原材料堆场以及供水、污水处理、配电、机修等设施，项目建成后可年产30万立方新型绿色装配式建筑材料。</w:t>
            </w:r>
          </w:p>
        </w:tc>
        <w:tc>
          <w:tcPr>
            <w:tcW w:w="1410" w:type="dxa"/>
            <w:vAlign w:val="center"/>
          </w:tcPr>
          <w:p w14:paraId="5B20B0B4">
            <w:pPr>
              <w:spacing w:line="286" w:lineRule="exact"/>
              <w:jc w:val="center"/>
              <w:rPr>
                <w:rFonts w:hint="eastAsia" w:ascii="仿宋_GB2312" w:hAnsi="仿宋_GB2312" w:eastAsia="仿宋_GB2312" w:cs="仿宋_GB2312"/>
                <w:kern w:val="2"/>
                <w:sz w:val="24"/>
                <w:szCs w:val="24"/>
                <w:highlight w:val="none"/>
                <w:lang w:val="en-US" w:eastAsia="zh-CN" w:bidi="ar-SA"/>
              </w:rPr>
            </w:pPr>
            <w:r>
              <w:rPr>
                <w:rFonts w:hint="eastAsia" w:ascii="仿宋_GB2312" w:hAnsi="仿宋_GB2312" w:eastAsia="仿宋_GB2312" w:cs="仿宋_GB2312"/>
                <w:sz w:val="24"/>
                <w:szCs w:val="24"/>
                <w:highlight w:val="none"/>
                <w:lang w:val="en-US" w:eastAsia="zh-CN"/>
              </w:rPr>
              <w:t>市经信局</w:t>
            </w:r>
          </w:p>
        </w:tc>
        <w:tc>
          <w:tcPr>
            <w:tcW w:w="1204" w:type="dxa"/>
            <w:vAlign w:val="center"/>
          </w:tcPr>
          <w:p w14:paraId="2D9E3D80">
            <w:pPr>
              <w:spacing w:line="286" w:lineRule="exact"/>
              <w:jc w:val="center"/>
              <w:rPr>
                <w:rFonts w:hint="eastAsia" w:ascii="仿宋_GB2312" w:hAnsi="仿宋_GB2312" w:eastAsia="仿宋_GB2312" w:cs="仿宋_GB2312"/>
                <w:kern w:val="2"/>
                <w:sz w:val="24"/>
                <w:szCs w:val="24"/>
                <w:highlight w:val="none"/>
                <w:lang w:val="en-US" w:eastAsia="zh-CN" w:bidi="ar-SA"/>
              </w:rPr>
            </w:pPr>
            <w:r>
              <w:rPr>
                <w:rFonts w:hint="eastAsia" w:ascii="仿宋_GB2312" w:hAnsi="仿宋_GB2312" w:eastAsia="仿宋_GB2312" w:cs="仿宋_GB2312"/>
                <w:sz w:val="24"/>
                <w:szCs w:val="24"/>
                <w:highlight w:val="none"/>
                <w:lang w:val="en-US" w:eastAsia="zh-CN"/>
              </w:rPr>
              <w:t>2026</w:t>
            </w:r>
          </w:p>
        </w:tc>
        <w:tc>
          <w:tcPr>
            <w:tcW w:w="1417" w:type="dxa"/>
            <w:vAlign w:val="center"/>
          </w:tcPr>
          <w:p w14:paraId="7E3702C3">
            <w:pPr>
              <w:spacing w:line="286" w:lineRule="exact"/>
              <w:jc w:val="center"/>
              <w:rPr>
                <w:rFonts w:hint="eastAsia" w:ascii="仿宋_GB2312" w:hAnsi="仿宋_GB2312" w:eastAsia="仿宋_GB2312" w:cs="仿宋_GB2312"/>
                <w:sz w:val="24"/>
                <w:szCs w:val="24"/>
                <w:highlight w:val="none"/>
                <w:lang w:val="en-US" w:eastAsia="zh-CN"/>
              </w:rPr>
            </w:pPr>
            <w:r>
              <w:rPr>
                <w:rFonts w:hint="eastAsia" w:ascii="仿宋_GB2312" w:hAnsi="仿宋_GB2312" w:eastAsia="仿宋_GB2312" w:cs="仿宋_GB2312"/>
                <w:sz w:val="24"/>
                <w:szCs w:val="24"/>
                <w:highlight w:val="none"/>
                <w:lang w:val="en-US" w:eastAsia="zh-CN"/>
              </w:rPr>
              <w:t>60000</w:t>
            </w:r>
          </w:p>
        </w:tc>
      </w:tr>
      <w:tr w14:paraId="2B0D67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10" w:type="dxa"/>
            <w:vMerge w:val="continue"/>
            <w:vAlign w:val="center"/>
          </w:tcPr>
          <w:p w14:paraId="39E50550">
            <w:pPr>
              <w:spacing w:line="300" w:lineRule="exact"/>
              <w:jc w:val="center"/>
              <w:rPr>
                <w:rFonts w:hint="eastAsia" w:ascii="仿宋_GB2312" w:hAnsi="仿宋_GB2312" w:eastAsia="仿宋_GB2312" w:cs="仿宋_GB2312"/>
                <w:b/>
                <w:bCs/>
                <w:sz w:val="24"/>
                <w:szCs w:val="24"/>
                <w:highlight w:val="none"/>
              </w:rPr>
            </w:pPr>
          </w:p>
        </w:tc>
        <w:tc>
          <w:tcPr>
            <w:tcW w:w="454" w:type="dxa"/>
            <w:vAlign w:val="center"/>
          </w:tcPr>
          <w:p w14:paraId="6981AD47">
            <w:pPr>
              <w:numPr>
                <w:ilvl w:val="0"/>
                <w:numId w:val="6"/>
              </w:numPr>
              <w:spacing w:line="286" w:lineRule="exact"/>
              <w:ind w:left="425" w:leftChars="0" w:hanging="425" w:firstLineChars="0"/>
              <w:jc w:val="center"/>
              <w:rPr>
                <w:rFonts w:hint="eastAsia" w:ascii="仿宋_GB2312" w:hAnsi="仿宋_GB2312" w:eastAsia="仿宋_GB2312" w:cs="仿宋_GB2312"/>
                <w:sz w:val="24"/>
                <w:szCs w:val="24"/>
                <w:highlight w:val="none"/>
              </w:rPr>
            </w:pPr>
          </w:p>
        </w:tc>
        <w:tc>
          <w:tcPr>
            <w:tcW w:w="1701" w:type="dxa"/>
            <w:vAlign w:val="center"/>
          </w:tcPr>
          <w:p w14:paraId="11D44005">
            <w:pPr>
              <w:spacing w:line="286" w:lineRule="exact"/>
              <w:jc w:val="center"/>
              <w:rPr>
                <w:rFonts w:hint="eastAsia" w:ascii="仿宋_GB2312" w:hAnsi="仿宋_GB2312" w:eastAsia="仿宋_GB2312" w:cs="仿宋_GB2312"/>
                <w:kern w:val="2"/>
                <w:sz w:val="24"/>
                <w:szCs w:val="24"/>
                <w:highlight w:val="none"/>
                <w:lang w:val="en-US" w:eastAsia="zh-CN" w:bidi="ar-SA"/>
              </w:rPr>
            </w:pPr>
            <w:r>
              <w:rPr>
                <w:rFonts w:hint="eastAsia" w:ascii="仿宋_GB2312" w:hAnsi="仿宋_GB2312" w:eastAsia="仿宋_GB2312" w:cs="仿宋_GB2312"/>
                <w:sz w:val="24"/>
                <w:szCs w:val="24"/>
                <w:highlight w:val="none"/>
              </w:rPr>
              <w:t>长江文化公园项目</w:t>
            </w:r>
          </w:p>
        </w:tc>
        <w:tc>
          <w:tcPr>
            <w:tcW w:w="1191" w:type="dxa"/>
            <w:vAlign w:val="center"/>
          </w:tcPr>
          <w:p w14:paraId="310D5052">
            <w:pPr>
              <w:spacing w:line="286" w:lineRule="exact"/>
              <w:jc w:val="center"/>
              <w:rPr>
                <w:rFonts w:hint="eastAsia" w:ascii="仿宋_GB2312" w:hAnsi="仿宋_GB2312" w:eastAsia="仿宋_GB2312" w:cs="仿宋_GB2312"/>
                <w:kern w:val="2"/>
                <w:sz w:val="24"/>
                <w:szCs w:val="24"/>
                <w:highlight w:val="none"/>
                <w:lang w:val="en-US" w:eastAsia="zh-CN" w:bidi="ar-SA"/>
              </w:rPr>
            </w:pPr>
            <w:r>
              <w:rPr>
                <w:rFonts w:hint="eastAsia" w:ascii="仿宋_GB2312" w:hAnsi="仿宋_GB2312" w:eastAsia="仿宋_GB2312" w:cs="仿宋_GB2312"/>
                <w:sz w:val="24"/>
                <w:szCs w:val="24"/>
                <w:highlight w:val="none"/>
                <w:lang w:val="en-US" w:eastAsia="zh-CN"/>
              </w:rPr>
              <w:t>黄石港区</w:t>
            </w:r>
          </w:p>
        </w:tc>
        <w:tc>
          <w:tcPr>
            <w:tcW w:w="6287" w:type="dxa"/>
            <w:vAlign w:val="center"/>
          </w:tcPr>
          <w:p w14:paraId="3E6BCBAB">
            <w:pPr>
              <w:spacing w:line="286" w:lineRule="exact"/>
              <w:jc w:val="left"/>
              <w:rPr>
                <w:rFonts w:hint="eastAsia" w:ascii="仿宋_GB2312" w:hAnsi="仿宋_GB2312" w:eastAsia="仿宋_GB2312" w:cs="仿宋_GB2312"/>
                <w:kern w:val="2"/>
                <w:sz w:val="24"/>
                <w:szCs w:val="24"/>
                <w:highlight w:val="none"/>
                <w:lang w:val="en-US" w:eastAsia="zh-CN" w:bidi="ar-SA"/>
              </w:rPr>
            </w:pPr>
            <w:r>
              <w:rPr>
                <w:rFonts w:hint="eastAsia" w:ascii="仿宋_GB2312" w:hAnsi="仿宋_GB2312" w:eastAsia="仿宋_GB2312" w:cs="仿宋_GB2312"/>
                <w:sz w:val="24"/>
                <w:szCs w:val="24"/>
                <w:highlight w:val="none"/>
                <w:lang w:val="en-US" w:eastAsia="zh-CN"/>
              </w:rPr>
              <w:t>项目</w:t>
            </w:r>
            <w:r>
              <w:rPr>
                <w:rFonts w:hint="eastAsia" w:ascii="仿宋_GB2312" w:hAnsi="仿宋_GB2312" w:eastAsia="仿宋_GB2312" w:cs="仿宋_GB2312"/>
                <w:sz w:val="24"/>
                <w:szCs w:val="24"/>
                <w:highlight w:val="none"/>
              </w:rPr>
              <w:t>打造朝阳阁长江文化馆、黄石矶长江文化广场。对长江段沿岸护坡进行美化，建设沿江步道、沿江公园，开展沿岸房屋立面整治、灯光亮化等，打造美丽滨江之城。以长江文化为核心，融合历史遗产保护、文物修缮提升和文旅功能开发等，打造具有地域特色的文化地标和旅游目的地</w:t>
            </w:r>
            <w:r>
              <w:rPr>
                <w:rFonts w:hint="eastAsia" w:ascii="仿宋_GB2312" w:hAnsi="仿宋_GB2312" w:eastAsia="仿宋_GB2312" w:cs="仿宋_GB2312"/>
                <w:sz w:val="24"/>
                <w:szCs w:val="24"/>
                <w:highlight w:val="none"/>
                <w:lang w:eastAsia="zh-CN"/>
              </w:rPr>
              <w:t>。</w:t>
            </w:r>
          </w:p>
        </w:tc>
        <w:tc>
          <w:tcPr>
            <w:tcW w:w="1410" w:type="dxa"/>
            <w:vAlign w:val="center"/>
          </w:tcPr>
          <w:p w14:paraId="74683BDF">
            <w:pPr>
              <w:spacing w:line="286" w:lineRule="exact"/>
              <w:jc w:val="center"/>
              <w:rPr>
                <w:rFonts w:hint="eastAsia" w:ascii="仿宋_GB2312" w:hAnsi="仿宋_GB2312" w:eastAsia="仿宋_GB2312" w:cs="仿宋_GB2312"/>
                <w:kern w:val="2"/>
                <w:sz w:val="24"/>
                <w:szCs w:val="24"/>
                <w:highlight w:val="none"/>
                <w:lang w:val="en-US" w:eastAsia="zh-CN" w:bidi="ar-SA"/>
              </w:rPr>
            </w:pPr>
            <w:r>
              <w:rPr>
                <w:rFonts w:hint="eastAsia" w:ascii="仿宋_GB2312" w:hAnsi="仿宋_GB2312" w:eastAsia="仿宋_GB2312" w:cs="仿宋_GB2312"/>
                <w:sz w:val="24"/>
                <w:szCs w:val="24"/>
                <w:highlight w:val="none"/>
                <w:lang w:val="en-US" w:eastAsia="zh-CN"/>
              </w:rPr>
              <w:t>市文化和旅游局</w:t>
            </w:r>
          </w:p>
        </w:tc>
        <w:tc>
          <w:tcPr>
            <w:tcW w:w="1204" w:type="dxa"/>
            <w:vAlign w:val="center"/>
          </w:tcPr>
          <w:p w14:paraId="0108E8C8">
            <w:pPr>
              <w:spacing w:line="286" w:lineRule="exact"/>
              <w:jc w:val="center"/>
              <w:rPr>
                <w:rFonts w:hint="eastAsia" w:ascii="仿宋_GB2312" w:hAnsi="仿宋_GB2312" w:eastAsia="仿宋_GB2312" w:cs="仿宋_GB2312"/>
                <w:kern w:val="2"/>
                <w:sz w:val="24"/>
                <w:szCs w:val="24"/>
                <w:highlight w:val="none"/>
                <w:lang w:val="en-US" w:eastAsia="zh-CN" w:bidi="ar-SA"/>
              </w:rPr>
            </w:pPr>
            <w:r>
              <w:rPr>
                <w:rFonts w:hint="eastAsia" w:ascii="仿宋_GB2312" w:hAnsi="仿宋_GB2312" w:eastAsia="仿宋_GB2312" w:cs="仿宋_GB2312"/>
                <w:sz w:val="24"/>
                <w:szCs w:val="24"/>
                <w:highlight w:val="none"/>
                <w:lang w:val="en-US" w:eastAsia="zh-CN"/>
              </w:rPr>
              <w:t>2026</w:t>
            </w:r>
          </w:p>
        </w:tc>
        <w:tc>
          <w:tcPr>
            <w:tcW w:w="1417" w:type="dxa"/>
            <w:vAlign w:val="center"/>
          </w:tcPr>
          <w:p w14:paraId="13191A5C">
            <w:pPr>
              <w:spacing w:line="286" w:lineRule="exact"/>
              <w:jc w:val="center"/>
              <w:rPr>
                <w:rFonts w:hint="eastAsia" w:ascii="仿宋_GB2312" w:hAnsi="仿宋_GB2312" w:eastAsia="仿宋_GB2312" w:cs="仿宋_GB2312"/>
                <w:kern w:val="2"/>
                <w:sz w:val="24"/>
                <w:szCs w:val="24"/>
                <w:highlight w:val="none"/>
                <w:lang w:val="en-US" w:eastAsia="zh-CN" w:bidi="ar-SA"/>
              </w:rPr>
            </w:pPr>
            <w:r>
              <w:rPr>
                <w:rFonts w:hint="eastAsia" w:ascii="仿宋_GB2312" w:hAnsi="仿宋_GB2312" w:eastAsia="仿宋_GB2312" w:cs="仿宋_GB2312"/>
                <w:sz w:val="24"/>
                <w:szCs w:val="24"/>
                <w:highlight w:val="none"/>
                <w:lang w:val="en-US" w:eastAsia="zh-CN"/>
              </w:rPr>
              <w:t>585000</w:t>
            </w:r>
          </w:p>
        </w:tc>
      </w:tr>
      <w:tr w14:paraId="5C2F8D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10" w:type="dxa"/>
            <w:vMerge w:val="continue"/>
            <w:vAlign w:val="center"/>
          </w:tcPr>
          <w:p w14:paraId="3A03C85C">
            <w:pPr>
              <w:spacing w:line="300" w:lineRule="exact"/>
              <w:jc w:val="center"/>
              <w:rPr>
                <w:rFonts w:hint="eastAsia" w:ascii="仿宋_GB2312" w:hAnsi="仿宋_GB2312" w:eastAsia="仿宋_GB2312" w:cs="仿宋_GB2312"/>
                <w:b/>
                <w:bCs/>
                <w:sz w:val="24"/>
                <w:szCs w:val="24"/>
                <w:highlight w:val="none"/>
              </w:rPr>
            </w:pPr>
          </w:p>
        </w:tc>
        <w:tc>
          <w:tcPr>
            <w:tcW w:w="454" w:type="dxa"/>
            <w:vAlign w:val="center"/>
          </w:tcPr>
          <w:p w14:paraId="24F04FC5">
            <w:pPr>
              <w:numPr>
                <w:ilvl w:val="0"/>
                <w:numId w:val="6"/>
              </w:numPr>
              <w:spacing w:line="286" w:lineRule="exact"/>
              <w:ind w:left="425" w:leftChars="0" w:hanging="425" w:firstLineChars="0"/>
              <w:jc w:val="center"/>
              <w:rPr>
                <w:rFonts w:hint="eastAsia" w:ascii="仿宋_GB2312" w:hAnsi="仿宋_GB2312" w:eastAsia="仿宋_GB2312" w:cs="仿宋_GB2312"/>
                <w:sz w:val="24"/>
                <w:szCs w:val="24"/>
                <w:highlight w:val="none"/>
              </w:rPr>
            </w:pPr>
          </w:p>
        </w:tc>
        <w:tc>
          <w:tcPr>
            <w:tcW w:w="1701" w:type="dxa"/>
            <w:vAlign w:val="center"/>
          </w:tcPr>
          <w:p w14:paraId="13F5F397">
            <w:pPr>
              <w:spacing w:line="286" w:lineRule="exact"/>
              <w:jc w:val="center"/>
              <w:rPr>
                <w:rFonts w:hint="eastAsia" w:ascii="仿宋_GB2312" w:hAnsi="仿宋_GB2312" w:eastAsia="仿宋_GB2312" w:cs="仿宋_GB2312"/>
                <w:sz w:val="24"/>
                <w:szCs w:val="24"/>
                <w:highlight w:val="none"/>
                <w:lang w:val="en-US" w:eastAsia="zh-CN"/>
              </w:rPr>
            </w:pPr>
            <w:r>
              <w:rPr>
                <w:rFonts w:hint="eastAsia" w:ascii="仿宋_GB2312" w:hAnsi="仿宋_GB2312" w:eastAsia="仿宋_GB2312" w:cs="仿宋_GB2312"/>
                <w:sz w:val="24"/>
                <w:szCs w:val="24"/>
                <w:highlight w:val="none"/>
              </w:rPr>
              <w:t>铜绿山国家考古遗址公园保护利用</w:t>
            </w:r>
            <w:r>
              <w:rPr>
                <w:rFonts w:hint="eastAsia" w:ascii="仿宋_GB2312" w:hAnsi="仿宋_GB2312" w:eastAsia="仿宋_GB2312" w:cs="仿宋_GB2312"/>
                <w:sz w:val="24"/>
                <w:szCs w:val="24"/>
                <w:highlight w:val="none"/>
                <w:lang w:val="en-US" w:eastAsia="zh-CN"/>
              </w:rPr>
              <w:t>项目</w:t>
            </w:r>
          </w:p>
        </w:tc>
        <w:tc>
          <w:tcPr>
            <w:tcW w:w="1191" w:type="dxa"/>
            <w:vAlign w:val="center"/>
          </w:tcPr>
          <w:p w14:paraId="69061CDD">
            <w:pPr>
              <w:spacing w:line="286" w:lineRule="exact"/>
              <w:jc w:val="center"/>
              <w:rPr>
                <w:rFonts w:hint="default" w:ascii="仿宋_GB2312" w:hAnsi="仿宋_GB2312" w:eastAsia="仿宋_GB2312" w:cs="仿宋_GB2312"/>
                <w:sz w:val="24"/>
                <w:szCs w:val="24"/>
                <w:highlight w:val="none"/>
                <w:lang w:val="en-US" w:eastAsia="zh-CN"/>
              </w:rPr>
            </w:pPr>
            <w:r>
              <w:rPr>
                <w:rFonts w:hint="eastAsia" w:ascii="仿宋_GB2312" w:hAnsi="仿宋_GB2312" w:eastAsia="仿宋_GB2312" w:cs="仿宋_GB2312"/>
                <w:sz w:val="24"/>
                <w:szCs w:val="24"/>
                <w:highlight w:val="none"/>
                <w:lang w:val="en-US" w:eastAsia="zh-CN"/>
              </w:rPr>
              <w:t>大冶市</w:t>
            </w:r>
          </w:p>
        </w:tc>
        <w:tc>
          <w:tcPr>
            <w:tcW w:w="6287" w:type="dxa"/>
            <w:vAlign w:val="center"/>
          </w:tcPr>
          <w:p w14:paraId="319E364D">
            <w:pPr>
              <w:spacing w:line="286" w:lineRule="exact"/>
              <w:jc w:val="left"/>
              <w:rPr>
                <w:rFonts w:hint="eastAsia" w:ascii="仿宋_GB2312" w:hAnsi="仿宋_GB2312" w:eastAsia="仿宋_GB2312" w:cs="仿宋_GB2312"/>
                <w:sz w:val="24"/>
                <w:szCs w:val="24"/>
                <w:highlight w:val="none"/>
                <w:lang w:val="en-US" w:eastAsia="zh-CN"/>
              </w:rPr>
            </w:pPr>
            <w:r>
              <w:rPr>
                <w:rFonts w:hint="eastAsia" w:ascii="仿宋_GB2312" w:hAnsi="仿宋_GB2312" w:eastAsia="仿宋_GB2312" w:cs="仿宋_GB2312"/>
                <w:sz w:val="24"/>
                <w:szCs w:val="24"/>
                <w:highlight w:val="none"/>
                <w:lang w:val="en-US" w:eastAsia="zh-CN"/>
              </w:rPr>
              <w:t>建设遗址博物馆改造及周边环境整治、数字化和智能化系统建设、文物库房和界碑界桩等保护管理设施、遗址保护展示棚等展示利用设施、外围连接道路等配套服务设施等。</w:t>
            </w:r>
          </w:p>
        </w:tc>
        <w:tc>
          <w:tcPr>
            <w:tcW w:w="1410" w:type="dxa"/>
            <w:vAlign w:val="center"/>
          </w:tcPr>
          <w:p w14:paraId="1C33B6B0">
            <w:pPr>
              <w:spacing w:line="286" w:lineRule="exact"/>
              <w:jc w:val="center"/>
              <w:rPr>
                <w:rFonts w:hint="eastAsia" w:ascii="仿宋_GB2312" w:hAnsi="仿宋_GB2312" w:eastAsia="仿宋_GB2312" w:cs="仿宋_GB2312"/>
                <w:sz w:val="24"/>
                <w:szCs w:val="24"/>
                <w:highlight w:val="none"/>
                <w:lang w:val="en-US" w:eastAsia="zh-CN"/>
              </w:rPr>
            </w:pPr>
            <w:r>
              <w:rPr>
                <w:rFonts w:hint="eastAsia" w:ascii="仿宋_GB2312" w:hAnsi="仿宋_GB2312" w:eastAsia="仿宋_GB2312" w:cs="仿宋_GB2312"/>
                <w:sz w:val="24"/>
                <w:szCs w:val="24"/>
                <w:highlight w:val="none"/>
                <w:lang w:val="en-US" w:eastAsia="zh-CN"/>
              </w:rPr>
              <w:t>市文化和旅游局</w:t>
            </w:r>
          </w:p>
        </w:tc>
        <w:tc>
          <w:tcPr>
            <w:tcW w:w="1204" w:type="dxa"/>
            <w:vAlign w:val="center"/>
          </w:tcPr>
          <w:p w14:paraId="1CA9093E">
            <w:pPr>
              <w:spacing w:line="286" w:lineRule="exact"/>
              <w:jc w:val="center"/>
              <w:rPr>
                <w:rFonts w:hint="eastAsia" w:ascii="仿宋_GB2312" w:hAnsi="仿宋_GB2312" w:eastAsia="仿宋_GB2312" w:cs="仿宋_GB2312"/>
                <w:sz w:val="24"/>
                <w:szCs w:val="24"/>
                <w:highlight w:val="none"/>
                <w:lang w:val="en-US" w:eastAsia="zh-CN"/>
              </w:rPr>
            </w:pPr>
            <w:r>
              <w:rPr>
                <w:rFonts w:hint="eastAsia" w:ascii="仿宋_GB2312" w:hAnsi="仿宋_GB2312" w:eastAsia="仿宋_GB2312" w:cs="仿宋_GB2312"/>
                <w:sz w:val="24"/>
                <w:szCs w:val="24"/>
                <w:highlight w:val="none"/>
                <w:lang w:val="en-US" w:eastAsia="zh-CN"/>
              </w:rPr>
              <w:t>2026</w:t>
            </w:r>
          </w:p>
        </w:tc>
        <w:tc>
          <w:tcPr>
            <w:tcW w:w="1417" w:type="dxa"/>
            <w:vAlign w:val="center"/>
          </w:tcPr>
          <w:p w14:paraId="2692A03C">
            <w:pPr>
              <w:spacing w:line="286" w:lineRule="exact"/>
              <w:jc w:val="center"/>
              <w:rPr>
                <w:rFonts w:hint="default" w:ascii="仿宋_GB2312" w:hAnsi="仿宋_GB2312" w:eastAsia="仿宋_GB2312" w:cs="仿宋_GB2312"/>
                <w:sz w:val="24"/>
                <w:szCs w:val="24"/>
                <w:highlight w:val="none"/>
                <w:lang w:val="en-US" w:eastAsia="zh-CN"/>
              </w:rPr>
            </w:pPr>
            <w:r>
              <w:rPr>
                <w:rFonts w:hint="eastAsia" w:ascii="仿宋_GB2312" w:hAnsi="仿宋_GB2312" w:eastAsia="仿宋_GB2312" w:cs="仿宋_GB2312"/>
                <w:sz w:val="24"/>
                <w:szCs w:val="24"/>
                <w:highlight w:val="none"/>
                <w:lang w:val="en-US" w:eastAsia="zh-CN"/>
              </w:rPr>
              <w:t>29400</w:t>
            </w:r>
          </w:p>
        </w:tc>
      </w:tr>
      <w:tr w14:paraId="079904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10" w:type="dxa"/>
            <w:vMerge w:val="continue"/>
            <w:vAlign w:val="center"/>
          </w:tcPr>
          <w:p w14:paraId="6A50499D">
            <w:pPr>
              <w:spacing w:line="300" w:lineRule="exact"/>
              <w:jc w:val="center"/>
              <w:rPr>
                <w:rFonts w:hint="eastAsia" w:ascii="仿宋_GB2312" w:hAnsi="仿宋_GB2312" w:eastAsia="仿宋_GB2312" w:cs="仿宋_GB2312"/>
                <w:b/>
                <w:bCs/>
                <w:sz w:val="24"/>
                <w:szCs w:val="24"/>
                <w:highlight w:val="none"/>
              </w:rPr>
            </w:pPr>
          </w:p>
        </w:tc>
        <w:tc>
          <w:tcPr>
            <w:tcW w:w="454" w:type="dxa"/>
            <w:vAlign w:val="center"/>
          </w:tcPr>
          <w:p w14:paraId="02911EF5">
            <w:pPr>
              <w:numPr>
                <w:ilvl w:val="0"/>
                <w:numId w:val="6"/>
              </w:numPr>
              <w:spacing w:line="286" w:lineRule="exact"/>
              <w:ind w:left="425" w:leftChars="0" w:hanging="425" w:firstLineChars="0"/>
              <w:jc w:val="center"/>
              <w:rPr>
                <w:rFonts w:hint="eastAsia" w:ascii="仿宋_GB2312" w:hAnsi="仿宋_GB2312" w:eastAsia="仿宋_GB2312" w:cs="仿宋_GB2312"/>
                <w:sz w:val="24"/>
                <w:szCs w:val="24"/>
                <w:highlight w:val="none"/>
              </w:rPr>
            </w:pPr>
          </w:p>
        </w:tc>
        <w:tc>
          <w:tcPr>
            <w:tcW w:w="1701" w:type="dxa"/>
            <w:vAlign w:val="center"/>
          </w:tcPr>
          <w:p w14:paraId="21235F79">
            <w:pPr>
              <w:spacing w:line="286" w:lineRule="exact"/>
              <w:jc w:val="center"/>
              <w:rPr>
                <w:rFonts w:hint="eastAsia" w:ascii="仿宋_GB2312" w:hAnsi="仿宋_GB2312" w:eastAsia="仿宋_GB2312" w:cs="仿宋_GB2312"/>
                <w:kern w:val="2"/>
                <w:sz w:val="24"/>
                <w:szCs w:val="24"/>
                <w:highlight w:val="none"/>
                <w:lang w:val="en-US" w:eastAsia="zh-CN" w:bidi="ar-SA"/>
              </w:rPr>
            </w:pPr>
            <w:r>
              <w:rPr>
                <w:rFonts w:hint="eastAsia" w:ascii="仿宋_GB2312" w:hAnsi="仿宋_GB2312" w:eastAsia="仿宋_GB2312" w:cs="仿宋_GB2312"/>
                <w:sz w:val="24"/>
                <w:szCs w:val="24"/>
                <w:highlight w:val="none"/>
              </w:rPr>
              <w:t>黄石临空现代物流园</w:t>
            </w:r>
          </w:p>
        </w:tc>
        <w:tc>
          <w:tcPr>
            <w:tcW w:w="1191" w:type="dxa"/>
            <w:vAlign w:val="center"/>
          </w:tcPr>
          <w:p w14:paraId="3E39DAAB">
            <w:pPr>
              <w:spacing w:line="286" w:lineRule="exact"/>
              <w:jc w:val="center"/>
              <w:rPr>
                <w:rFonts w:hint="eastAsia" w:ascii="仿宋_GB2312" w:hAnsi="仿宋_GB2312" w:eastAsia="仿宋_GB2312" w:cs="仿宋_GB2312"/>
                <w:kern w:val="2"/>
                <w:sz w:val="24"/>
                <w:szCs w:val="24"/>
                <w:highlight w:val="none"/>
                <w:lang w:val="en-US" w:eastAsia="zh-CN" w:bidi="ar-SA"/>
              </w:rPr>
            </w:pPr>
            <w:r>
              <w:rPr>
                <w:rFonts w:hint="eastAsia" w:ascii="仿宋_GB2312" w:hAnsi="仿宋_GB2312" w:eastAsia="仿宋_GB2312" w:cs="仿宋_GB2312"/>
                <w:sz w:val="24"/>
                <w:szCs w:val="24"/>
                <w:highlight w:val="none"/>
                <w:lang w:val="en-US" w:eastAsia="zh-CN"/>
              </w:rPr>
              <w:t>黄石港区</w:t>
            </w:r>
          </w:p>
        </w:tc>
        <w:tc>
          <w:tcPr>
            <w:tcW w:w="6287" w:type="dxa"/>
            <w:vAlign w:val="center"/>
          </w:tcPr>
          <w:p w14:paraId="6487EB7D">
            <w:pPr>
              <w:spacing w:line="286" w:lineRule="exact"/>
              <w:jc w:val="left"/>
              <w:rPr>
                <w:rFonts w:hint="eastAsia" w:ascii="仿宋_GB2312" w:hAnsi="仿宋_GB2312" w:eastAsia="仿宋_GB2312" w:cs="仿宋_GB2312"/>
                <w:kern w:val="2"/>
                <w:sz w:val="24"/>
                <w:szCs w:val="24"/>
                <w:highlight w:val="none"/>
                <w:lang w:val="en-US" w:eastAsia="zh-CN" w:bidi="ar-SA"/>
              </w:rPr>
            </w:pPr>
            <w:r>
              <w:rPr>
                <w:rFonts w:hint="eastAsia" w:ascii="仿宋_GB2312" w:hAnsi="仿宋_GB2312" w:eastAsia="仿宋_GB2312" w:cs="仿宋_GB2312"/>
                <w:sz w:val="24"/>
                <w:szCs w:val="24"/>
                <w:highlight w:val="none"/>
              </w:rPr>
              <w:t>项目总占地面积213334.4平方米，总建筑面积150000平方米，新建高标准公共物流仓库80000平方米</w:t>
            </w:r>
            <w:r>
              <w:rPr>
                <w:rFonts w:hint="eastAsia" w:ascii="仿宋_GB2312" w:hAnsi="仿宋_GB2312" w:eastAsia="仿宋_GB2312" w:cs="仿宋_GB2312"/>
                <w:sz w:val="24"/>
                <w:szCs w:val="24"/>
                <w:highlight w:val="none"/>
                <w:lang w:eastAsia="zh-CN"/>
              </w:rPr>
              <w:t>、</w:t>
            </w:r>
            <w:r>
              <w:rPr>
                <w:rFonts w:hint="eastAsia" w:ascii="仿宋_GB2312" w:hAnsi="仿宋_GB2312" w:eastAsia="仿宋_GB2312" w:cs="仿宋_GB2312"/>
                <w:sz w:val="24"/>
                <w:szCs w:val="24"/>
                <w:highlight w:val="none"/>
              </w:rPr>
              <w:t>新建集配中心10000平方米，改扩建冷库以及智能化改造仓库30000平方米，新建公共物流信息平台5000平方米、新建网络货运平台5000平方米，新建其他基础服务配套设施20000平方米，完善园区停车场、给排水、电力、消防等基础设施</w:t>
            </w:r>
            <w:r>
              <w:rPr>
                <w:rFonts w:hint="eastAsia" w:ascii="仿宋_GB2312" w:hAnsi="仿宋_GB2312" w:eastAsia="仿宋_GB2312" w:cs="仿宋_GB2312"/>
                <w:sz w:val="24"/>
                <w:szCs w:val="24"/>
                <w:highlight w:val="none"/>
                <w:lang w:eastAsia="zh-CN"/>
              </w:rPr>
              <w:t>；</w:t>
            </w:r>
            <w:r>
              <w:rPr>
                <w:rFonts w:hint="eastAsia" w:ascii="仿宋_GB2312" w:hAnsi="仿宋_GB2312" w:eastAsia="仿宋_GB2312" w:cs="仿宋_GB2312"/>
                <w:sz w:val="24"/>
                <w:szCs w:val="24"/>
                <w:highlight w:val="none"/>
              </w:rPr>
              <w:t>以及园区周边配套道路下卫路及东钢港等其他市政配套设施建设。</w:t>
            </w:r>
          </w:p>
        </w:tc>
        <w:tc>
          <w:tcPr>
            <w:tcW w:w="1410" w:type="dxa"/>
            <w:vAlign w:val="center"/>
          </w:tcPr>
          <w:p w14:paraId="1212D001">
            <w:pPr>
              <w:spacing w:line="286" w:lineRule="exact"/>
              <w:jc w:val="center"/>
              <w:rPr>
                <w:rFonts w:hint="eastAsia" w:ascii="仿宋_GB2312" w:hAnsi="仿宋_GB2312" w:eastAsia="仿宋_GB2312" w:cs="仿宋_GB2312"/>
                <w:kern w:val="2"/>
                <w:sz w:val="24"/>
                <w:szCs w:val="24"/>
                <w:highlight w:val="none"/>
                <w:lang w:val="en-US" w:eastAsia="zh-CN" w:bidi="ar-SA"/>
              </w:rPr>
            </w:pPr>
            <w:r>
              <w:rPr>
                <w:rFonts w:hint="eastAsia" w:ascii="仿宋_GB2312" w:hAnsi="仿宋_GB2312" w:eastAsia="仿宋_GB2312" w:cs="仿宋_GB2312"/>
                <w:sz w:val="24"/>
                <w:szCs w:val="24"/>
                <w:highlight w:val="none"/>
                <w:lang w:val="en-US" w:eastAsia="zh-CN"/>
              </w:rPr>
              <w:t>市交通运输局</w:t>
            </w:r>
          </w:p>
        </w:tc>
        <w:tc>
          <w:tcPr>
            <w:tcW w:w="1204" w:type="dxa"/>
            <w:vAlign w:val="center"/>
          </w:tcPr>
          <w:p w14:paraId="2F9D4EC9">
            <w:pPr>
              <w:spacing w:line="286" w:lineRule="exact"/>
              <w:jc w:val="center"/>
              <w:rPr>
                <w:rFonts w:hint="eastAsia" w:ascii="仿宋_GB2312" w:hAnsi="仿宋_GB2312" w:eastAsia="仿宋_GB2312" w:cs="仿宋_GB2312"/>
                <w:kern w:val="2"/>
                <w:sz w:val="24"/>
                <w:szCs w:val="24"/>
                <w:highlight w:val="none"/>
                <w:lang w:val="en-US" w:eastAsia="zh-CN" w:bidi="ar-SA"/>
              </w:rPr>
            </w:pPr>
            <w:r>
              <w:rPr>
                <w:rFonts w:hint="eastAsia" w:ascii="仿宋_GB2312" w:hAnsi="仿宋_GB2312" w:eastAsia="仿宋_GB2312" w:cs="仿宋_GB2312"/>
                <w:sz w:val="24"/>
                <w:szCs w:val="24"/>
                <w:highlight w:val="none"/>
                <w:lang w:val="en-US" w:eastAsia="zh-CN"/>
              </w:rPr>
              <w:t>2026</w:t>
            </w:r>
          </w:p>
        </w:tc>
        <w:tc>
          <w:tcPr>
            <w:tcW w:w="1417" w:type="dxa"/>
            <w:vAlign w:val="center"/>
          </w:tcPr>
          <w:p w14:paraId="7D66BD37">
            <w:pPr>
              <w:spacing w:line="286" w:lineRule="exact"/>
              <w:jc w:val="center"/>
              <w:rPr>
                <w:rFonts w:hint="eastAsia" w:ascii="仿宋_GB2312" w:hAnsi="仿宋_GB2312" w:eastAsia="仿宋_GB2312" w:cs="仿宋_GB2312"/>
                <w:kern w:val="2"/>
                <w:sz w:val="24"/>
                <w:szCs w:val="24"/>
                <w:highlight w:val="none"/>
                <w:lang w:val="en-US" w:eastAsia="zh-CN" w:bidi="ar-SA"/>
              </w:rPr>
            </w:pPr>
            <w:r>
              <w:rPr>
                <w:rFonts w:hint="eastAsia" w:ascii="仿宋_GB2312" w:hAnsi="仿宋_GB2312" w:eastAsia="仿宋_GB2312" w:cs="仿宋_GB2312"/>
                <w:sz w:val="24"/>
                <w:szCs w:val="24"/>
                <w:highlight w:val="none"/>
                <w:lang w:val="en-US" w:eastAsia="zh-CN"/>
              </w:rPr>
              <w:t>52600</w:t>
            </w:r>
          </w:p>
        </w:tc>
      </w:tr>
      <w:tr w14:paraId="312005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10" w:type="dxa"/>
            <w:vMerge w:val="continue"/>
            <w:vAlign w:val="center"/>
          </w:tcPr>
          <w:p w14:paraId="5C129E80">
            <w:pPr>
              <w:spacing w:line="300" w:lineRule="exact"/>
              <w:jc w:val="center"/>
              <w:rPr>
                <w:rFonts w:hint="eastAsia" w:ascii="仿宋_GB2312" w:hAnsi="仿宋_GB2312" w:eastAsia="仿宋_GB2312" w:cs="仿宋_GB2312"/>
                <w:b/>
                <w:bCs/>
                <w:sz w:val="24"/>
                <w:szCs w:val="24"/>
                <w:highlight w:val="none"/>
              </w:rPr>
            </w:pPr>
          </w:p>
        </w:tc>
        <w:tc>
          <w:tcPr>
            <w:tcW w:w="454" w:type="dxa"/>
            <w:vAlign w:val="center"/>
          </w:tcPr>
          <w:p w14:paraId="1034238F">
            <w:pPr>
              <w:numPr>
                <w:ilvl w:val="0"/>
                <w:numId w:val="6"/>
              </w:numPr>
              <w:spacing w:line="286" w:lineRule="exact"/>
              <w:ind w:left="425" w:leftChars="0" w:hanging="425" w:firstLineChars="0"/>
              <w:jc w:val="center"/>
              <w:rPr>
                <w:rFonts w:hint="eastAsia" w:ascii="仿宋_GB2312" w:hAnsi="仿宋_GB2312" w:eastAsia="仿宋_GB2312" w:cs="仿宋_GB2312"/>
                <w:sz w:val="24"/>
                <w:szCs w:val="24"/>
                <w:highlight w:val="none"/>
              </w:rPr>
            </w:pPr>
          </w:p>
        </w:tc>
        <w:tc>
          <w:tcPr>
            <w:tcW w:w="1701" w:type="dxa"/>
            <w:vAlign w:val="center"/>
          </w:tcPr>
          <w:p w14:paraId="36A80B54">
            <w:pPr>
              <w:spacing w:line="286" w:lineRule="exact"/>
              <w:jc w:val="center"/>
              <w:rPr>
                <w:rFonts w:hint="eastAsia" w:ascii="仿宋_GB2312" w:hAnsi="仿宋_GB2312" w:eastAsia="仿宋_GB2312" w:cs="仿宋_GB2312"/>
                <w:kern w:val="2"/>
                <w:sz w:val="24"/>
                <w:szCs w:val="24"/>
                <w:highlight w:val="none"/>
                <w:lang w:val="en-US" w:eastAsia="zh-CN" w:bidi="ar-SA"/>
              </w:rPr>
            </w:pPr>
            <w:r>
              <w:rPr>
                <w:rFonts w:hint="eastAsia" w:ascii="仿宋_GB2312" w:hAnsi="仿宋_GB2312" w:eastAsia="仿宋_GB2312" w:cs="仿宋_GB2312"/>
                <w:kern w:val="2"/>
                <w:sz w:val="24"/>
                <w:szCs w:val="24"/>
                <w:highlight w:val="none"/>
                <w:lang w:val="en-US" w:eastAsia="zh-CN" w:bidi="ar-SA"/>
              </w:rPr>
              <w:t>黄石城发临港低碳智能制造</w:t>
            </w:r>
          </w:p>
          <w:p w14:paraId="72DFA3A8">
            <w:pPr>
              <w:spacing w:line="286" w:lineRule="exact"/>
              <w:jc w:val="center"/>
              <w:rPr>
                <w:rFonts w:hint="eastAsia" w:ascii="仿宋_GB2312" w:hAnsi="仿宋_GB2312" w:eastAsia="仿宋_GB2312" w:cs="仿宋_GB2312"/>
                <w:kern w:val="2"/>
                <w:sz w:val="24"/>
                <w:szCs w:val="24"/>
                <w:highlight w:val="none"/>
                <w:lang w:val="en-US" w:eastAsia="zh-CN" w:bidi="ar-SA"/>
              </w:rPr>
            </w:pPr>
            <w:r>
              <w:rPr>
                <w:rFonts w:hint="eastAsia" w:ascii="仿宋_GB2312" w:hAnsi="仿宋_GB2312" w:eastAsia="仿宋_GB2312" w:cs="仿宋_GB2312"/>
                <w:kern w:val="2"/>
                <w:sz w:val="24"/>
                <w:szCs w:val="24"/>
                <w:highlight w:val="none"/>
                <w:lang w:val="en-US" w:eastAsia="zh-CN" w:bidi="ar-SA"/>
              </w:rPr>
              <w:t>项目</w:t>
            </w:r>
          </w:p>
        </w:tc>
        <w:tc>
          <w:tcPr>
            <w:tcW w:w="1191" w:type="dxa"/>
            <w:vAlign w:val="center"/>
          </w:tcPr>
          <w:p w14:paraId="6D82F9D7">
            <w:pPr>
              <w:spacing w:line="286" w:lineRule="exact"/>
              <w:jc w:val="center"/>
              <w:rPr>
                <w:rFonts w:hint="eastAsia" w:ascii="仿宋_GB2312" w:hAnsi="仿宋_GB2312" w:eastAsia="仿宋_GB2312" w:cs="仿宋_GB2312"/>
                <w:kern w:val="2"/>
                <w:sz w:val="24"/>
                <w:szCs w:val="24"/>
                <w:highlight w:val="none"/>
                <w:lang w:val="en-US" w:eastAsia="zh-CN" w:bidi="ar-SA"/>
              </w:rPr>
            </w:pPr>
            <w:r>
              <w:rPr>
                <w:rFonts w:hint="eastAsia" w:ascii="仿宋_GB2312" w:hAnsi="仿宋_GB2312" w:eastAsia="仿宋_GB2312" w:cs="仿宋_GB2312"/>
                <w:kern w:val="2"/>
                <w:sz w:val="24"/>
                <w:szCs w:val="24"/>
                <w:highlight w:val="none"/>
                <w:lang w:val="en-US" w:eastAsia="zh-CN" w:bidi="ar-SA"/>
              </w:rPr>
              <w:t>新港园区</w:t>
            </w:r>
          </w:p>
        </w:tc>
        <w:tc>
          <w:tcPr>
            <w:tcW w:w="6287" w:type="dxa"/>
            <w:vAlign w:val="center"/>
          </w:tcPr>
          <w:p w14:paraId="6D54AB0E">
            <w:pPr>
              <w:spacing w:line="286" w:lineRule="exact"/>
              <w:jc w:val="left"/>
              <w:rPr>
                <w:rFonts w:hint="eastAsia" w:ascii="仿宋_GB2312" w:hAnsi="仿宋_GB2312" w:eastAsia="仿宋_GB2312" w:cs="仿宋_GB2312"/>
                <w:kern w:val="2"/>
                <w:sz w:val="24"/>
                <w:szCs w:val="24"/>
                <w:highlight w:val="none"/>
                <w:lang w:val="en-US" w:eastAsia="zh-CN" w:bidi="ar-SA"/>
              </w:rPr>
            </w:pPr>
            <w:r>
              <w:rPr>
                <w:rFonts w:hint="eastAsia" w:ascii="仿宋_GB2312" w:hAnsi="仿宋_GB2312" w:eastAsia="仿宋_GB2312" w:cs="仿宋_GB2312"/>
                <w:kern w:val="2"/>
                <w:sz w:val="24"/>
                <w:szCs w:val="24"/>
                <w:highlight w:val="none"/>
                <w:lang w:val="en-US" w:eastAsia="zh-CN" w:bidi="ar-SA"/>
              </w:rPr>
              <w:t>新建年产600万吨骨料智能化生产线、智能化装配式与预制构件生产线；智能化立体仓库、综合办公楼、35KV电力专线、配电房及配套基础设施。</w:t>
            </w:r>
          </w:p>
        </w:tc>
        <w:tc>
          <w:tcPr>
            <w:tcW w:w="1410" w:type="dxa"/>
            <w:vAlign w:val="center"/>
          </w:tcPr>
          <w:p w14:paraId="7BB7748F">
            <w:pPr>
              <w:spacing w:line="286" w:lineRule="exact"/>
              <w:jc w:val="center"/>
              <w:rPr>
                <w:rFonts w:hint="eastAsia" w:ascii="仿宋_GB2312" w:hAnsi="仿宋_GB2312" w:eastAsia="仿宋_GB2312" w:cs="仿宋_GB2312"/>
                <w:kern w:val="2"/>
                <w:sz w:val="24"/>
                <w:szCs w:val="24"/>
                <w:highlight w:val="none"/>
                <w:lang w:val="en-US" w:eastAsia="zh-CN" w:bidi="ar-SA"/>
              </w:rPr>
            </w:pPr>
            <w:r>
              <w:rPr>
                <w:rFonts w:hint="eastAsia" w:ascii="仿宋_GB2312" w:hAnsi="仿宋_GB2312" w:eastAsia="仿宋_GB2312" w:cs="仿宋_GB2312"/>
                <w:kern w:val="2"/>
                <w:sz w:val="24"/>
                <w:szCs w:val="24"/>
                <w:highlight w:val="none"/>
                <w:lang w:val="en-US" w:eastAsia="zh-CN" w:bidi="ar-SA"/>
              </w:rPr>
              <w:t>市经信局</w:t>
            </w:r>
          </w:p>
        </w:tc>
        <w:tc>
          <w:tcPr>
            <w:tcW w:w="1204" w:type="dxa"/>
            <w:vAlign w:val="center"/>
          </w:tcPr>
          <w:p w14:paraId="2993A085">
            <w:pPr>
              <w:spacing w:line="286" w:lineRule="exact"/>
              <w:jc w:val="center"/>
              <w:rPr>
                <w:rFonts w:hint="eastAsia" w:ascii="仿宋_GB2312" w:hAnsi="仿宋_GB2312" w:eastAsia="仿宋_GB2312" w:cs="仿宋_GB2312"/>
                <w:kern w:val="2"/>
                <w:sz w:val="24"/>
                <w:szCs w:val="24"/>
                <w:highlight w:val="none"/>
                <w:lang w:val="en-US" w:eastAsia="zh-CN" w:bidi="ar-SA"/>
              </w:rPr>
            </w:pPr>
            <w:r>
              <w:rPr>
                <w:rFonts w:hint="eastAsia" w:ascii="仿宋_GB2312" w:hAnsi="仿宋_GB2312" w:eastAsia="仿宋_GB2312" w:cs="仿宋_GB2312"/>
                <w:sz w:val="24"/>
                <w:szCs w:val="24"/>
                <w:highlight w:val="none"/>
                <w:lang w:val="en-US" w:eastAsia="zh-CN"/>
              </w:rPr>
              <w:t>2026</w:t>
            </w:r>
          </w:p>
        </w:tc>
        <w:tc>
          <w:tcPr>
            <w:tcW w:w="1417" w:type="dxa"/>
            <w:vAlign w:val="center"/>
          </w:tcPr>
          <w:p w14:paraId="00711ECA">
            <w:pPr>
              <w:spacing w:line="286" w:lineRule="exact"/>
              <w:jc w:val="center"/>
              <w:rPr>
                <w:rFonts w:hint="eastAsia" w:ascii="仿宋_GB2312" w:hAnsi="仿宋_GB2312" w:eastAsia="仿宋_GB2312" w:cs="仿宋_GB2312"/>
                <w:kern w:val="2"/>
                <w:sz w:val="24"/>
                <w:szCs w:val="24"/>
                <w:highlight w:val="none"/>
                <w:lang w:val="en-US" w:eastAsia="zh-CN" w:bidi="ar-SA"/>
              </w:rPr>
            </w:pPr>
            <w:r>
              <w:rPr>
                <w:rFonts w:hint="eastAsia" w:ascii="仿宋_GB2312" w:hAnsi="仿宋_GB2312" w:eastAsia="仿宋_GB2312" w:cs="仿宋_GB2312"/>
                <w:kern w:val="2"/>
                <w:sz w:val="24"/>
                <w:szCs w:val="24"/>
                <w:highlight w:val="none"/>
                <w:lang w:val="en-US" w:eastAsia="zh-CN" w:bidi="ar-SA"/>
              </w:rPr>
              <w:t>52000</w:t>
            </w:r>
          </w:p>
        </w:tc>
      </w:tr>
      <w:tr w14:paraId="6CA924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10" w:type="dxa"/>
            <w:vMerge w:val="continue"/>
            <w:vAlign w:val="center"/>
          </w:tcPr>
          <w:p w14:paraId="4122AB3C">
            <w:pPr>
              <w:spacing w:line="300" w:lineRule="exact"/>
              <w:jc w:val="center"/>
              <w:rPr>
                <w:rFonts w:hint="eastAsia" w:ascii="仿宋_GB2312" w:hAnsi="仿宋_GB2312" w:eastAsia="仿宋_GB2312" w:cs="仿宋_GB2312"/>
                <w:b/>
                <w:bCs/>
                <w:sz w:val="24"/>
                <w:szCs w:val="24"/>
                <w:highlight w:val="none"/>
              </w:rPr>
            </w:pPr>
          </w:p>
        </w:tc>
        <w:tc>
          <w:tcPr>
            <w:tcW w:w="454" w:type="dxa"/>
            <w:vAlign w:val="center"/>
          </w:tcPr>
          <w:p w14:paraId="2D64B552">
            <w:pPr>
              <w:numPr>
                <w:ilvl w:val="0"/>
                <w:numId w:val="6"/>
              </w:numPr>
              <w:spacing w:line="286" w:lineRule="exact"/>
              <w:ind w:left="425" w:leftChars="0" w:hanging="425" w:firstLineChars="0"/>
              <w:jc w:val="center"/>
              <w:rPr>
                <w:rFonts w:hint="eastAsia" w:ascii="仿宋_GB2312" w:hAnsi="仿宋_GB2312" w:eastAsia="仿宋_GB2312" w:cs="仿宋_GB2312"/>
                <w:sz w:val="24"/>
                <w:szCs w:val="24"/>
                <w:highlight w:val="none"/>
              </w:rPr>
            </w:pPr>
          </w:p>
        </w:tc>
        <w:tc>
          <w:tcPr>
            <w:tcW w:w="1701" w:type="dxa"/>
            <w:vAlign w:val="center"/>
          </w:tcPr>
          <w:p w14:paraId="4B8A2F6D">
            <w:pPr>
              <w:spacing w:line="286" w:lineRule="exact"/>
              <w:jc w:val="center"/>
              <w:rPr>
                <w:rFonts w:hint="eastAsia" w:ascii="仿宋_GB2312" w:hAnsi="仿宋_GB2312" w:eastAsia="仿宋_GB2312" w:cs="仿宋_GB2312"/>
                <w:kern w:val="2"/>
                <w:sz w:val="24"/>
                <w:szCs w:val="24"/>
                <w:highlight w:val="none"/>
                <w:lang w:val="en-US" w:eastAsia="zh-CN" w:bidi="ar-SA"/>
              </w:rPr>
            </w:pPr>
            <w:r>
              <w:rPr>
                <w:rFonts w:hint="eastAsia" w:ascii="仿宋_GB2312" w:hAnsi="仿宋_GB2312" w:eastAsia="仿宋_GB2312" w:cs="仿宋_GB2312"/>
                <w:kern w:val="2"/>
                <w:sz w:val="24"/>
                <w:szCs w:val="24"/>
                <w:highlight w:val="none"/>
                <w:lang w:val="en-US" w:eastAsia="zh-CN" w:bidi="ar-SA"/>
              </w:rPr>
              <w:t>新港现代物流枢纽项目</w:t>
            </w:r>
          </w:p>
        </w:tc>
        <w:tc>
          <w:tcPr>
            <w:tcW w:w="1191" w:type="dxa"/>
            <w:vAlign w:val="center"/>
          </w:tcPr>
          <w:p w14:paraId="03B57744">
            <w:pPr>
              <w:spacing w:line="286" w:lineRule="exact"/>
              <w:jc w:val="center"/>
              <w:rPr>
                <w:rFonts w:hint="eastAsia" w:ascii="仿宋_GB2312" w:hAnsi="仿宋_GB2312" w:eastAsia="仿宋_GB2312" w:cs="仿宋_GB2312"/>
                <w:kern w:val="2"/>
                <w:sz w:val="24"/>
                <w:szCs w:val="24"/>
                <w:highlight w:val="none"/>
                <w:lang w:val="en-US" w:eastAsia="zh-CN" w:bidi="ar-SA"/>
              </w:rPr>
            </w:pPr>
            <w:r>
              <w:rPr>
                <w:rFonts w:hint="eastAsia" w:ascii="仿宋_GB2312" w:hAnsi="仿宋_GB2312" w:eastAsia="仿宋_GB2312" w:cs="仿宋_GB2312"/>
                <w:kern w:val="2"/>
                <w:sz w:val="24"/>
                <w:szCs w:val="24"/>
                <w:highlight w:val="none"/>
                <w:lang w:val="en-US" w:eastAsia="zh-CN" w:bidi="ar-SA"/>
              </w:rPr>
              <w:t>新港园区</w:t>
            </w:r>
          </w:p>
        </w:tc>
        <w:tc>
          <w:tcPr>
            <w:tcW w:w="6287" w:type="dxa"/>
            <w:vAlign w:val="center"/>
          </w:tcPr>
          <w:p w14:paraId="56CC7052">
            <w:pPr>
              <w:spacing w:line="286" w:lineRule="exact"/>
              <w:jc w:val="left"/>
              <w:rPr>
                <w:rFonts w:hint="eastAsia" w:ascii="仿宋_GB2312" w:hAnsi="仿宋_GB2312" w:eastAsia="仿宋_GB2312" w:cs="仿宋_GB2312"/>
                <w:kern w:val="2"/>
                <w:sz w:val="24"/>
                <w:szCs w:val="24"/>
                <w:highlight w:val="none"/>
                <w:lang w:val="en-US" w:eastAsia="zh-CN" w:bidi="ar-SA"/>
              </w:rPr>
            </w:pPr>
            <w:r>
              <w:rPr>
                <w:rFonts w:hint="eastAsia" w:ascii="仿宋_GB2312" w:hAnsi="仿宋_GB2312" w:eastAsia="仿宋_GB2312" w:cs="仿宋_GB2312"/>
                <w:kern w:val="2"/>
                <w:sz w:val="24"/>
                <w:szCs w:val="24"/>
                <w:highlight w:val="none"/>
                <w:lang w:val="en-US" w:eastAsia="zh-CN" w:bidi="ar-SA"/>
              </w:rPr>
              <w:t>包括9条市政道路、2条空中货运廊道及铁路物流园在内的物流基础设施；包括园区光伏发电、污水处理升级改造、绿色公交系统在内的物流服务配套设施；包括供应链物流信息平台、物流安防工程、智慧交通系统、智慧供排水系统在内的数字智慧系统。</w:t>
            </w:r>
          </w:p>
        </w:tc>
        <w:tc>
          <w:tcPr>
            <w:tcW w:w="1410" w:type="dxa"/>
            <w:vAlign w:val="center"/>
          </w:tcPr>
          <w:p w14:paraId="6D158804">
            <w:pPr>
              <w:spacing w:line="286" w:lineRule="exact"/>
              <w:jc w:val="center"/>
              <w:rPr>
                <w:rFonts w:hint="eastAsia" w:ascii="仿宋_GB2312" w:hAnsi="仿宋_GB2312" w:eastAsia="仿宋_GB2312" w:cs="仿宋_GB2312"/>
                <w:kern w:val="2"/>
                <w:sz w:val="24"/>
                <w:szCs w:val="24"/>
                <w:highlight w:val="none"/>
                <w:lang w:val="en-US" w:eastAsia="zh-CN" w:bidi="ar-SA"/>
              </w:rPr>
            </w:pPr>
            <w:r>
              <w:rPr>
                <w:rFonts w:hint="eastAsia" w:ascii="仿宋_GB2312" w:hAnsi="仿宋_GB2312" w:eastAsia="仿宋_GB2312" w:cs="仿宋_GB2312"/>
                <w:sz w:val="24"/>
                <w:szCs w:val="24"/>
                <w:highlight w:val="none"/>
                <w:lang w:val="en-US" w:eastAsia="zh-CN"/>
              </w:rPr>
              <w:t>市交通运输局</w:t>
            </w:r>
          </w:p>
        </w:tc>
        <w:tc>
          <w:tcPr>
            <w:tcW w:w="1204" w:type="dxa"/>
            <w:vAlign w:val="center"/>
          </w:tcPr>
          <w:p w14:paraId="1D1C9205">
            <w:pPr>
              <w:spacing w:line="286" w:lineRule="exact"/>
              <w:jc w:val="center"/>
              <w:rPr>
                <w:rFonts w:hint="eastAsia" w:ascii="仿宋_GB2312" w:hAnsi="仿宋_GB2312" w:eastAsia="仿宋_GB2312" w:cs="仿宋_GB2312"/>
                <w:sz w:val="24"/>
                <w:szCs w:val="24"/>
                <w:highlight w:val="none"/>
                <w:lang w:val="en-US" w:eastAsia="zh-CN"/>
              </w:rPr>
            </w:pPr>
            <w:r>
              <w:rPr>
                <w:rFonts w:hint="eastAsia" w:ascii="仿宋_GB2312" w:hAnsi="仿宋_GB2312" w:eastAsia="仿宋_GB2312" w:cs="仿宋_GB2312"/>
                <w:sz w:val="24"/>
                <w:szCs w:val="24"/>
                <w:highlight w:val="none"/>
                <w:lang w:val="en-US" w:eastAsia="zh-CN"/>
              </w:rPr>
              <w:t>2026</w:t>
            </w:r>
          </w:p>
        </w:tc>
        <w:tc>
          <w:tcPr>
            <w:tcW w:w="1417" w:type="dxa"/>
            <w:vAlign w:val="center"/>
          </w:tcPr>
          <w:p w14:paraId="01E668D6">
            <w:pPr>
              <w:spacing w:line="286" w:lineRule="exact"/>
              <w:jc w:val="center"/>
              <w:rPr>
                <w:rFonts w:hint="eastAsia" w:ascii="仿宋_GB2312" w:hAnsi="仿宋_GB2312" w:eastAsia="仿宋_GB2312" w:cs="仿宋_GB2312"/>
                <w:kern w:val="2"/>
                <w:sz w:val="24"/>
                <w:szCs w:val="24"/>
                <w:highlight w:val="none"/>
                <w:lang w:val="en-US" w:eastAsia="zh-CN" w:bidi="ar-SA"/>
              </w:rPr>
            </w:pPr>
            <w:r>
              <w:rPr>
                <w:rFonts w:hint="eastAsia" w:ascii="仿宋_GB2312" w:hAnsi="仿宋_GB2312" w:eastAsia="仿宋_GB2312" w:cs="仿宋_GB2312"/>
                <w:kern w:val="2"/>
                <w:sz w:val="24"/>
                <w:szCs w:val="24"/>
                <w:highlight w:val="none"/>
                <w:lang w:val="en-US" w:eastAsia="zh-CN" w:bidi="ar-SA"/>
              </w:rPr>
              <w:t>299066</w:t>
            </w:r>
          </w:p>
        </w:tc>
      </w:tr>
      <w:tr w14:paraId="0C8308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10" w:type="dxa"/>
            <w:vMerge w:val="continue"/>
            <w:vAlign w:val="center"/>
          </w:tcPr>
          <w:p w14:paraId="7EEF728F">
            <w:pPr>
              <w:spacing w:line="300" w:lineRule="exact"/>
              <w:jc w:val="center"/>
              <w:rPr>
                <w:rFonts w:hint="eastAsia" w:ascii="仿宋_GB2312" w:hAnsi="仿宋_GB2312" w:eastAsia="仿宋_GB2312" w:cs="仿宋_GB2312"/>
                <w:b/>
                <w:bCs/>
                <w:sz w:val="24"/>
                <w:szCs w:val="24"/>
                <w:highlight w:val="none"/>
              </w:rPr>
            </w:pPr>
          </w:p>
        </w:tc>
        <w:tc>
          <w:tcPr>
            <w:tcW w:w="454" w:type="dxa"/>
            <w:vAlign w:val="center"/>
          </w:tcPr>
          <w:p w14:paraId="56D4BEAE">
            <w:pPr>
              <w:numPr>
                <w:ilvl w:val="0"/>
                <w:numId w:val="6"/>
              </w:numPr>
              <w:spacing w:line="286" w:lineRule="exact"/>
              <w:ind w:left="425" w:leftChars="0" w:hanging="425" w:firstLineChars="0"/>
              <w:jc w:val="center"/>
              <w:rPr>
                <w:rFonts w:hint="eastAsia" w:ascii="仿宋_GB2312" w:hAnsi="仿宋_GB2312" w:eastAsia="仿宋_GB2312" w:cs="仿宋_GB2312"/>
                <w:sz w:val="24"/>
                <w:szCs w:val="24"/>
                <w:highlight w:val="none"/>
              </w:rPr>
            </w:pPr>
          </w:p>
        </w:tc>
        <w:tc>
          <w:tcPr>
            <w:tcW w:w="1701" w:type="dxa"/>
            <w:vAlign w:val="center"/>
          </w:tcPr>
          <w:p w14:paraId="36ABBC0E">
            <w:pPr>
              <w:spacing w:line="286" w:lineRule="exact"/>
              <w:jc w:val="center"/>
              <w:rPr>
                <w:rFonts w:hint="eastAsia" w:ascii="仿宋_GB2312" w:hAnsi="仿宋_GB2312" w:eastAsia="仿宋_GB2312" w:cs="仿宋_GB2312"/>
                <w:kern w:val="2"/>
                <w:sz w:val="24"/>
                <w:szCs w:val="24"/>
                <w:highlight w:val="none"/>
                <w:lang w:val="en-US" w:eastAsia="zh-CN" w:bidi="ar-SA"/>
              </w:rPr>
            </w:pPr>
            <w:r>
              <w:rPr>
                <w:rFonts w:hint="eastAsia" w:ascii="仿宋_GB2312" w:hAnsi="仿宋_GB2312" w:eastAsia="仿宋_GB2312" w:cs="仿宋_GB2312"/>
                <w:sz w:val="24"/>
                <w:szCs w:val="24"/>
                <w:highlight w:val="none"/>
              </w:rPr>
              <w:t>黄石市低空智联网基础设施及应用场景建设项目</w:t>
            </w:r>
          </w:p>
        </w:tc>
        <w:tc>
          <w:tcPr>
            <w:tcW w:w="1191" w:type="dxa"/>
            <w:vAlign w:val="center"/>
          </w:tcPr>
          <w:p w14:paraId="14B07F48">
            <w:pPr>
              <w:spacing w:line="286" w:lineRule="exact"/>
              <w:jc w:val="center"/>
              <w:rPr>
                <w:rFonts w:hint="eastAsia" w:ascii="仿宋_GB2312" w:hAnsi="仿宋_GB2312" w:eastAsia="仿宋_GB2312" w:cs="仿宋_GB2312"/>
                <w:kern w:val="2"/>
                <w:sz w:val="24"/>
                <w:szCs w:val="24"/>
                <w:highlight w:val="none"/>
                <w:lang w:val="en-US" w:eastAsia="zh-CN" w:bidi="ar-SA"/>
              </w:rPr>
            </w:pPr>
            <w:r>
              <w:rPr>
                <w:rFonts w:hint="eastAsia" w:ascii="仿宋_GB2312" w:hAnsi="仿宋_GB2312" w:eastAsia="仿宋_GB2312" w:cs="仿宋_GB2312"/>
                <w:sz w:val="24"/>
                <w:szCs w:val="24"/>
                <w:highlight w:val="none"/>
                <w:lang w:val="en-US" w:eastAsia="zh-CN"/>
              </w:rPr>
              <w:t>黄石市</w:t>
            </w:r>
          </w:p>
        </w:tc>
        <w:tc>
          <w:tcPr>
            <w:tcW w:w="6287" w:type="dxa"/>
            <w:vAlign w:val="center"/>
          </w:tcPr>
          <w:p w14:paraId="00BCF7B1">
            <w:pPr>
              <w:spacing w:line="286" w:lineRule="exact"/>
              <w:jc w:val="left"/>
              <w:rPr>
                <w:rFonts w:hint="eastAsia" w:ascii="仿宋_GB2312" w:hAnsi="仿宋_GB2312" w:eastAsia="仿宋_GB2312" w:cs="仿宋_GB2312"/>
                <w:kern w:val="2"/>
                <w:sz w:val="24"/>
                <w:szCs w:val="24"/>
                <w:highlight w:val="none"/>
                <w:lang w:val="en-US" w:eastAsia="zh-CN" w:bidi="ar-SA"/>
              </w:rPr>
            </w:pPr>
            <w:r>
              <w:rPr>
                <w:rFonts w:hint="eastAsia" w:ascii="仿宋_GB2312" w:hAnsi="仿宋_GB2312" w:eastAsia="仿宋_GB2312" w:cs="仿宋_GB2312"/>
                <w:sz w:val="24"/>
                <w:szCs w:val="24"/>
                <w:highlight w:val="none"/>
              </w:rPr>
              <w:t>项目聚焦低空智联网基础设施、运营基础设施及应用场景三大核心板块。分两期建设，第一阶段为4个月，计划完成黄石市低空智能网联平台建设，覆盖350平方公里的低空基础设施，低空管控服务中心建设、低空商业应用场景建设。第二阶段为9个月，在第一阶段基础上完成全市4583平方公里的低空基础设施建设</w:t>
            </w:r>
            <w:r>
              <w:rPr>
                <w:rFonts w:hint="eastAsia" w:ascii="仿宋_GB2312" w:hAnsi="仿宋_GB2312" w:eastAsia="仿宋_GB2312" w:cs="仿宋_GB2312"/>
                <w:sz w:val="24"/>
                <w:szCs w:val="24"/>
                <w:highlight w:val="none"/>
                <w:lang w:eastAsia="zh-CN"/>
              </w:rPr>
              <w:t>、</w:t>
            </w:r>
            <w:r>
              <w:rPr>
                <w:rFonts w:hint="eastAsia" w:ascii="仿宋_GB2312" w:hAnsi="仿宋_GB2312" w:eastAsia="仿宋_GB2312" w:cs="仿宋_GB2312"/>
                <w:sz w:val="24"/>
                <w:szCs w:val="24"/>
                <w:highlight w:val="none"/>
              </w:rPr>
              <w:t>低空经济展示中心建设、同时完成全市政务综合巡检平台的建设。</w:t>
            </w:r>
          </w:p>
        </w:tc>
        <w:tc>
          <w:tcPr>
            <w:tcW w:w="1410" w:type="dxa"/>
            <w:vAlign w:val="center"/>
          </w:tcPr>
          <w:p w14:paraId="3E60C218">
            <w:pPr>
              <w:spacing w:line="286" w:lineRule="exact"/>
              <w:jc w:val="center"/>
              <w:rPr>
                <w:rFonts w:hint="eastAsia" w:ascii="仿宋_GB2312" w:hAnsi="仿宋_GB2312" w:eastAsia="仿宋_GB2312" w:cs="仿宋_GB2312"/>
                <w:kern w:val="2"/>
                <w:sz w:val="24"/>
                <w:szCs w:val="24"/>
                <w:highlight w:val="none"/>
                <w:lang w:val="en-US" w:eastAsia="zh-CN" w:bidi="ar-SA"/>
              </w:rPr>
            </w:pPr>
            <w:r>
              <w:rPr>
                <w:rFonts w:hint="eastAsia" w:ascii="仿宋_GB2312" w:hAnsi="仿宋_GB2312" w:eastAsia="仿宋_GB2312" w:cs="仿宋_GB2312"/>
                <w:sz w:val="24"/>
                <w:szCs w:val="24"/>
                <w:highlight w:val="none"/>
                <w:lang w:val="en-US" w:eastAsia="zh-CN"/>
              </w:rPr>
              <w:t>市交通运输局</w:t>
            </w:r>
          </w:p>
        </w:tc>
        <w:tc>
          <w:tcPr>
            <w:tcW w:w="1204" w:type="dxa"/>
            <w:vAlign w:val="center"/>
          </w:tcPr>
          <w:p w14:paraId="7413BD1F">
            <w:pPr>
              <w:spacing w:line="286" w:lineRule="exact"/>
              <w:jc w:val="center"/>
              <w:rPr>
                <w:rFonts w:hint="default" w:ascii="仿宋_GB2312" w:hAnsi="仿宋_GB2312" w:eastAsia="仿宋_GB2312" w:cs="仿宋_GB2312"/>
                <w:kern w:val="2"/>
                <w:sz w:val="24"/>
                <w:szCs w:val="24"/>
                <w:highlight w:val="none"/>
                <w:lang w:val="en-US" w:eastAsia="zh-CN" w:bidi="ar-SA"/>
              </w:rPr>
            </w:pPr>
            <w:r>
              <w:rPr>
                <w:rFonts w:hint="eastAsia" w:ascii="仿宋_GB2312" w:hAnsi="仿宋_GB2312" w:eastAsia="仿宋_GB2312" w:cs="仿宋_GB2312"/>
                <w:sz w:val="24"/>
                <w:szCs w:val="24"/>
                <w:highlight w:val="none"/>
                <w:lang w:val="en-US" w:eastAsia="zh-CN"/>
              </w:rPr>
              <w:t>2026</w:t>
            </w:r>
          </w:p>
        </w:tc>
        <w:tc>
          <w:tcPr>
            <w:tcW w:w="1417" w:type="dxa"/>
            <w:vAlign w:val="center"/>
          </w:tcPr>
          <w:p w14:paraId="1B913CE8">
            <w:pPr>
              <w:spacing w:line="286" w:lineRule="exact"/>
              <w:jc w:val="center"/>
              <w:rPr>
                <w:rFonts w:hint="eastAsia" w:ascii="仿宋_GB2312" w:hAnsi="仿宋_GB2312" w:eastAsia="仿宋_GB2312" w:cs="仿宋_GB2312"/>
                <w:kern w:val="2"/>
                <w:sz w:val="24"/>
                <w:szCs w:val="24"/>
                <w:highlight w:val="none"/>
                <w:lang w:val="en-US" w:eastAsia="zh-CN" w:bidi="ar-SA"/>
              </w:rPr>
            </w:pPr>
            <w:r>
              <w:rPr>
                <w:rFonts w:hint="eastAsia" w:ascii="仿宋_GB2312" w:hAnsi="仿宋_GB2312" w:eastAsia="仿宋_GB2312" w:cs="仿宋_GB2312"/>
                <w:sz w:val="24"/>
                <w:szCs w:val="24"/>
                <w:highlight w:val="none"/>
                <w:lang w:val="en-US" w:eastAsia="zh-CN"/>
              </w:rPr>
              <w:t>19600</w:t>
            </w:r>
          </w:p>
        </w:tc>
      </w:tr>
      <w:tr w14:paraId="35D304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10" w:type="dxa"/>
            <w:vMerge w:val="restart"/>
            <w:vAlign w:val="center"/>
          </w:tcPr>
          <w:p w14:paraId="73A087BB">
            <w:pPr>
              <w:spacing w:line="286" w:lineRule="exact"/>
              <w:jc w:val="center"/>
              <w:rPr>
                <w:rFonts w:hint="default" w:ascii="仿宋_GB2312" w:hAnsi="仿宋_GB2312" w:eastAsia="仿宋_GB2312" w:cs="仿宋_GB2312"/>
                <w:sz w:val="24"/>
                <w:szCs w:val="24"/>
                <w:highlight w:val="none"/>
                <w:lang w:val="en-US" w:eastAsia="zh-CN"/>
              </w:rPr>
            </w:pPr>
            <w:r>
              <w:rPr>
                <w:rFonts w:hint="eastAsia" w:ascii="仿宋_GB2312" w:hAnsi="仿宋_GB2312" w:eastAsia="仿宋_GB2312" w:cs="仿宋_GB2312"/>
                <w:sz w:val="24"/>
                <w:szCs w:val="24"/>
                <w:highlight w:val="none"/>
                <w:lang w:val="en-US" w:eastAsia="zh-CN"/>
              </w:rPr>
              <w:t>环境优美</w:t>
            </w:r>
          </w:p>
        </w:tc>
        <w:tc>
          <w:tcPr>
            <w:tcW w:w="454" w:type="dxa"/>
            <w:vAlign w:val="center"/>
          </w:tcPr>
          <w:p w14:paraId="73A6D2D2">
            <w:pPr>
              <w:numPr>
                <w:ilvl w:val="0"/>
                <w:numId w:val="6"/>
              </w:numPr>
              <w:spacing w:line="286" w:lineRule="exact"/>
              <w:ind w:left="425" w:leftChars="0" w:hanging="425" w:firstLineChars="0"/>
              <w:jc w:val="center"/>
              <w:rPr>
                <w:rFonts w:hint="eastAsia" w:ascii="仿宋_GB2312" w:hAnsi="仿宋_GB2312" w:eastAsia="仿宋_GB2312" w:cs="仿宋_GB2312"/>
                <w:sz w:val="24"/>
                <w:szCs w:val="24"/>
                <w:highlight w:val="none"/>
              </w:rPr>
            </w:pPr>
          </w:p>
        </w:tc>
        <w:tc>
          <w:tcPr>
            <w:tcW w:w="1701" w:type="dxa"/>
            <w:vAlign w:val="center"/>
          </w:tcPr>
          <w:p w14:paraId="6D82B7A9">
            <w:pPr>
              <w:spacing w:line="286" w:lineRule="exact"/>
              <w:jc w:val="center"/>
              <w:rPr>
                <w:rFonts w:hint="eastAsia" w:ascii="仿宋_GB2312" w:hAnsi="仿宋_GB2312" w:eastAsia="仿宋_GB2312" w:cs="仿宋_GB2312"/>
                <w:kern w:val="2"/>
                <w:sz w:val="24"/>
                <w:szCs w:val="24"/>
                <w:highlight w:val="none"/>
                <w:lang w:val="en-US" w:eastAsia="zh-CN" w:bidi="ar-SA"/>
              </w:rPr>
            </w:pPr>
            <w:r>
              <w:rPr>
                <w:rFonts w:hint="eastAsia" w:ascii="仿宋_GB2312" w:hAnsi="仿宋_GB2312" w:eastAsia="仿宋_GB2312" w:cs="仿宋_GB2312"/>
                <w:sz w:val="24"/>
                <w:szCs w:val="24"/>
                <w:highlight w:val="none"/>
              </w:rPr>
              <w:t>花马湖（磁湖）流域黄石港“两湖两港”水环境综合治理</w:t>
            </w:r>
          </w:p>
        </w:tc>
        <w:tc>
          <w:tcPr>
            <w:tcW w:w="1191" w:type="dxa"/>
            <w:vAlign w:val="center"/>
          </w:tcPr>
          <w:p w14:paraId="4D90195E">
            <w:pPr>
              <w:spacing w:line="286" w:lineRule="exact"/>
              <w:jc w:val="center"/>
              <w:rPr>
                <w:rFonts w:hint="eastAsia" w:ascii="仿宋_GB2312" w:hAnsi="仿宋_GB2312" w:eastAsia="仿宋_GB2312" w:cs="仿宋_GB2312"/>
                <w:kern w:val="2"/>
                <w:sz w:val="24"/>
                <w:szCs w:val="24"/>
                <w:highlight w:val="none"/>
                <w:lang w:val="en-US" w:eastAsia="zh-CN" w:bidi="ar-SA"/>
              </w:rPr>
            </w:pPr>
            <w:r>
              <w:rPr>
                <w:rFonts w:hint="eastAsia" w:ascii="仿宋_GB2312" w:hAnsi="仿宋_GB2312" w:eastAsia="仿宋_GB2312" w:cs="仿宋_GB2312"/>
                <w:sz w:val="24"/>
                <w:szCs w:val="24"/>
                <w:highlight w:val="none"/>
                <w:lang w:val="en-US" w:eastAsia="zh-CN"/>
              </w:rPr>
              <w:t>黄石市</w:t>
            </w:r>
          </w:p>
        </w:tc>
        <w:tc>
          <w:tcPr>
            <w:tcW w:w="6287" w:type="dxa"/>
            <w:vAlign w:val="center"/>
          </w:tcPr>
          <w:p w14:paraId="1E5E7265">
            <w:pPr>
              <w:spacing w:line="286" w:lineRule="exact"/>
              <w:jc w:val="left"/>
              <w:rPr>
                <w:rFonts w:hint="eastAsia" w:ascii="仿宋_GB2312" w:hAnsi="仿宋_GB2312" w:eastAsia="仿宋_GB2312" w:cs="仿宋_GB2312"/>
                <w:kern w:val="2"/>
                <w:sz w:val="24"/>
                <w:szCs w:val="24"/>
                <w:highlight w:val="none"/>
                <w:lang w:val="en-US" w:eastAsia="zh-CN" w:bidi="ar-SA"/>
              </w:rPr>
            </w:pPr>
            <w:r>
              <w:rPr>
                <w:rFonts w:hint="eastAsia" w:ascii="仿宋_GB2312" w:hAnsi="仿宋_GB2312" w:eastAsia="仿宋_GB2312" w:cs="仿宋_GB2312"/>
                <w:sz w:val="24"/>
                <w:szCs w:val="24"/>
                <w:highlight w:val="none"/>
              </w:rPr>
              <w:t>主要建设内容</w:t>
            </w:r>
            <w:r>
              <w:rPr>
                <w:rFonts w:hint="eastAsia" w:ascii="仿宋_GB2312" w:hAnsi="仿宋_GB2312" w:eastAsia="仿宋_GB2312" w:cs="仿宋_GB2312"/>
                <w:sz w:val="24"/>
                <w:szCs w:val="24"/>
                <w:highlight w:val="none"/>
                <w:lang w:val="en-US" w:eastAsia="zh-CN"/>
              </w:rPr>
              <w:t>包括</w:t>
            </w:r>
            <w:r>
              <w:rPr>
                <w:rFonts w:hint="eastAsia" w:ascii="仿宋_GB2312" w:hAnsi="仿宋_GB2312" w:eastAsia="仿宋_GB2312" w:cs="仿宋_GB2312"/>
                <w:sz w:val="24"/>
                <w:szCs w:val="24"/>
                <w:highlight w:val="none"/>
              </w:rPr>
              <w:t>（1）青港湖护岸整治建设：建设长度9公里，包括河槽清淤、扩挖、护岸整治等。（2）锁前港沿线堤防加固建设：建设长度2.76公里，包括堤防加固，修建挡墙工程。（3）花马港沿线堤防加固建设：建设长度1.4公里，包括堤防加固，岸线历史遗留临水私房拆迁、修建挡墙工程。（4）青山湖沿线护岸整治建设：对青山湖9.6公里护岸垮塌部分进行除险加固。（5）闸站更新改造：青港湖闸、汉池泵站设备老化，进行更新改造。</w:t>
            </w:r>
          </w:p>
        </w:tc>
        <w:tc>
          <w:tcPr>
            <w:tcW w:w="1410" w:type="dxa"/>
            <w:vAlign w:val="center"/>
          </w:tcPr>
          <w:p w14:paraId="55988D82">
            <w:pPr>
              <w:spacing w:line="286" w:lineRule="exact"/>
              <w:jc w:val="center"/>
              <w:rPr>
                <w:rFonts w:hint="eastAsia" w:ascii="仿宋_GB2312" w:hAnsi="仿宋_GB2312" w:eastAsia="仿宋_GB2312" w:cs="仿宋_GB2312"/>
                <w:kern w:val="2"/>
                <w:sz w:val="24"/>
                <w:szCs w:val="24"/>
                <w:highlight w:val="none"/>
                <w:lang w:val="en-US" w:eastAsia="zh-CN" w:bidi="ar-SA"/>
              </w:rPr>
            </w:pPr>
            <w:r>
              <w:rPr>
                <w:rFonts w:hint="eastAsia" w:ascii="仿宋_GB2312" w:hAnsi="仿宋_GB2312" w:eastAsia="仿宋_GB2312" w:cs="仿宋_GB2312"/>
                <w:sz w:val="24"/>
                <w:szCs w:val="24"/>
                <w:highlight w:val="none"/>
                <w:lang w:val="en-US" w:eastAsia="zh-CN"/>
              </w:rPr>
              <w:t>市水利和湖泊局</w:t>
            </w:r>
          </w:p>
        </w:tc>
        <w:tc>
          <w:tcPr>
            <w:tcW w:w="1204" w:type="dxa"/>
            <w:vAlign w:val="center"/>
          </w:tcPr>
          <w:p w14:paraId="14FF293D">
            <w:pPr>
              <w:spacing w:line="286" w:lineRule="exact"/>
              <w:jc w:val="center"/>
              <w:rPr>
                <w:rFonts w:hint="eastAsia" w:ascii="仿宋_GB2312" w:hAnsi="仿宋_GB2312" w:eastAsia="仿宋_GB2312" w:cs="仿宋_GB2312"/>
                <w:kern w:val="2"/>
                <w:sz w:val="24"/>
                <w:szCs w:val="24"/>
                <w:highlight w:val="none"/>
                <w:lang w:val="en-US" w:eastAsia="zh-CN" w:bidi="ar-SA"/>
              </w:rPr>
            </w:pPr>
            <w:r>
              <w:rPr>
                <w:rFonts w:hint="eastAsia" w:ascii="仿宋_GB2312" w:hAnsi="仿宋_GB2312" w:eastAsia="仿宋_GB2312" w:cs="仿宋_GB2312"/>
                <w:sz w:val="24"/>
                <w:szCs w:val="24"/>
                <w:highlight w:val="none"/>
                <w:lang w:val="en-US" w:eastAsia="zh-CN"/>
              </w:rPr>
              <w:t>2027</w:t>
            </w:r>
          </w:p>
        </w:tc>
        <w:tc>
          <w:tcPr>
            <w:tcW w:w="1417" w:type="dxa"/>
            <w:vAlign w:val="center"/>
          </w:tcPr>
          <w:p w14:paraId="3F26DC72">
            <w:pPr>
              <w:spacing w:line="286" w:lineRule="exact"/>
              <w:jc w:val="center"/>
              <w:rPr>
                <w:rFonts w:hint="eastAsia" w:ascii="仿宋_GB2312" w:hAnsi="仿宋_GB2312" w:eastAsia="仿宋_GB2312" w:cs="仿宋_GB2312"/>
                <w:kern w:val="2"/>
                <w:sz w:val="24"/>
                <w:szCs w:val="24"/>
                <w:highlight w:val="none"/>
                <w:lang w:val="en-US" w:eastAsia="zh-CN" w:bidi="ar-SA"/>
              </w:rPr>
            </w:pPr>
            <w:r>
              <w:rPr>
                <w:rFonts w:hint="eastAsia" w:ascii="仿宋_GB2312" w:hAnsi="仿宋_GB2312" w:eastAsia="仿宋_GB2312" w:cs="仿宋_GB2312"/>
                <w:sz w:val="24"/>
                <w:szCs w:val="24"/>
                <w:highlight w:val="none"/>
                <w:lang w:val="en-US" w:eastAsia="zh-CN"/>
              </w:rPr>
              <w:t>14400</w:t>
            </w:r>
          </w:p>
        </w:tc>
      </w:tr>
      <w:tr w14:paraId="70C8AB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10" w:type="dxa"/>
            <w:vMerge w:val="continue"/>
            <w:vAlign w:val="center"/>
          </w:tcPr>
          <w:p w14:paraId="7ABEC5CF">
            <w:pPr>
              <w:spacing w:line="286" w:lineRule="exact"/>
              <w:jc w:val="center"/>
              <w:rPr>
                <w:rFonts w:ascii="仿宋_GB2312" w:hAnsi="仿宋_GB2312" w:eastAsia="仿宋_GB2312" w:cs="仿宋_GB2312"/>
                <w:sz w:val="24"/>
                <w:szCs w:val="24"/>
                <w:highlight w:val="none"/>
              </w:rPr>
            </w:pPr>
          </w:p>
        </w:tc>
        <w:tc>
          <w:tcPr>
            <w:tcW w:w="454" w:type="dxa"/>
            <w:vAlign w:val="center"/>
          </w:tcPr>
          <w:p w14:paraId="268691F7">
            <w:pPr>
              <w:numPr>
                <w:ilvl w:val="0"/>
                <w:numId w:val="6"/>
              </w:numPr>
              <w:spacing w:line="286" w:lineRule="exact"/>
              <w:ind w:left="425" w:leftChars="0" w:hanging="425" w:firstLineChars="0"/>
              <w:jc w:val="center"/>
              <w:rPr>
                <w:rFonts w:hint="eastAsia" w:ascii="仿宋_GB2312" w:hAnsi="仿宋_GB2312" w:eastAsia="仿宋_GB2312" w:cs="仿宋_GB2312"/>
                <w:sz w:val="24"/>
                <w:szCs w:val="24"/>
                <w:highlight w:val="none"/>
              </w:rPr>
            </w:pPr>
          </w:p>
        </w:tc>
        <w:tc>
          <w:tcPr>
            <w:tcW w:w="1701" w:type="dxa"/>
            <w:vAlign w:val="center"/>
          </w:tcPr>
          <w:p w14:paraId="1F54A121">
            <w:pPr>
              <w:spacing w:line="286" w:lineRule="exact"/>
              <w:jc w:val="center"/>
              <w:rPr>
                <w:rFonts w:hint="eastAsia" w:ascii="仿宋_GB2312" w:hAnsi="仿宋_GB2312" w:eastAsia="仿宋_GB2312" w:cs="仿宋_GB2312"/>
                <w:kern w:val="2"/>
                <w:sz w:val="24"/>
                <w:szCs w:val="24"/>
                <w:highlight w:val="none"/>
                <w:lang w:val="en-US" w:eastAsia="zh-CN" w:bidi="ar-SA"/>
              </w:rPr>
            </w:pPr>
            <w:r>
              <w:rPr>
                <w:rFonts w:hint="eastAsia" w:ascii="仿宋_GB2312" w:hAnsi="仿宋_GB2312" w:eastAsia="仿宋_GB2312" w:cs="仿宋_GB2312"/>
                <w:sz w:val="24"/>
                <w:szCs w:val="24"/>
                <w:highlight w:val="none"/>
              </w:rPr>
              <w:t>大冶湖流域美丽河湖综合治理项目</w:t>
            </w:r>
          </w:p>
        </w:tc>
        <w:tc>
          <w:tcPr>
            <w:tcW w:w="1191" w:type="dxa"/>
            <w:vAlign w:val="center"/>
          </w:tcPr>
          <w:p w14:paraId="60256395">
            <w:pPr>
              <w:spacing w:line="286" w:lineRule="exact"/>
              <w:jc w:val="center"/>
              <w:rPr>
                <w:rFonts w:hint="eastAsia" w:ascii="仿宋_GB2312" w:hAnsi="仿宋_GB2312" w:eastAsia="仿宋_GB2312" w:cs="仿宋_GB2312"/>
                <w:kern w:val="2"/>
                <w:sz w:val="24"/>
                <w:szCs w:val="24"/>
                <w:highlight w:val="none"/>
                <w:lang w:val="en-US" w:eastAsia="zh-CN" w:bidi="ar-SA"/>
              </w:rPr>
            </w:pPr>
            <w:r>
              <w:rPr>
                <w:rFonts w:hint="eastAsia" w:ascii="仿宋_GB2312" w:hAnsi="仿宋_GB2312" w:eastAsia="仿宋_GB2312" w:cs="仿宋_GB2312"/>
                <w:sz w:val="24"/>
                <w:szCs w:val="24"/>
                <w:highlight w:val="none"/>
                <w:lang w:val="en-US" w:eastAsia="zh-CN"/>
              </w:rPr>
              <w:t>黄石市</w:t>
            </w:r>
          </w:p>
        </w:tc>
        <w:tc>
          <w:tcPr>
            <w:tcW w:w="6287" w:type="dxa"/>
            <w:vAlign w:val="center"/>
          </w:tcPr>
          <w:p w14:paraId="0AB5C022">
            <w:pPr>
              <w:spacing w:line="286" w:lineRule="exact"/>
              <w:jc w:val="left"/>
              <w:rPr>
                <w:rFonts w:hint="eastAsia" w:ascii="仿宋_GB2312" w:hAnsi="仿宋_GB2312" w:eastAsia="仿宋_GB2312" w:cs="仿宋_GB2312"/>
                <w:kern w:val="2"/>
                <w:sz w:val="24"/>
                <w:szCs w:val="24"/>
                <w:highlight w:val="none"/>
                <w:lang w:val="en-US" w:eastAsia="zh-CN" w:bidi="ar-SA"/>
              </w:rPr>
            </w:pPr>
            <w:r>
              <w:rPr>
                <w:rFonts w:hint="eastAsia" w:ascii="仿宋_GB2312" w:hAnsi="仿宋_GB2312" w:eastAsia="仿宋_GB2312" w:cs="仿宋_GB2312"/>
                <w:sz w:val="24"/>
                <w:szCs w:val="24"/>
                <w:highlight w:val="none"/>
              </w:rPr>
              <w:t>主要建设内容</w:t>
            </w:r>
            <w:r>
              <w:rPr>
                <w:rFonts w:hint="eastAsia" w:ascii="仿宋_GB2312" w:hAnsi="仿宋_GB2312" w:eastAsia="仿宋_GB2312" w:cs="仿宋_GB2312"/>
                <w:sz w:val="24"/>
                <w:szCs w:val="24"/>
                <w:highlight w:val="none"/>
                <w:lang w:val="en-US" w:eastAsia="zh-CN"/>
              </w:rPr>
              <w:t>包括</w:t>
            </w:r>
            <w:r>
              <w:rPr>
                <w:rFonts w:hint="eastAsia" w:ascii="仿宋_GB2312" w:hAnsi="仿宋_GB2312" w:eastAsia="仿宋_GB2312" w:cs="仿宋_GB2312"/>
                <w:sz w:val="24"/>
                <w:szCs w:val="24"/>
                <w:highlight w:val="none"/>
              </w:rPr>
              <w:t>（1）入湖口生态湿地工程</w:t>
            </w:r>
            <w:r>
              <w:rPr>
                <w:rFonts w:hint="eastAsia" w:ascii="仿宋_GB2312" w:hAnsi="仿宋_GB2312" w:eastAsia="仿宋_GB2312" w:cs="仿宋_GB2312"/>
                <w:sz w:val="24"/>
                <w:szCs w:val="24"/>
                <w:highlight w:val="none"/>
                <w:lang w:eastAsia="zh-CN"/>
              </w:rPr>
              <w:t>；</w:t>
            </w:r>
            <w:r>
              <w:rPr>
                <w:rFonts w:hint="eastAsia" w:ascii="仿宋_GB2312" w:hAnsi="仿宋_GB2312" w:eastAsia="仿宋_GB2312" w:cs="仿宋_GB2312"/>
                <w:sz w:val="24"/>
                <w:szCs w:val="24"/>
                <w:highlight w:val="none"/>
              </w:rPr>
              <w:t>（2）水生植物恢复工程</w:t>
            </w:r>
            <w:r>
              <w:rPr>
                <w:rFonts w:hint="eastAsia" w:ascii="仿宋_GB2312" w:hAnsi="仿宋_GB2312" w:eastAsia="仿宋_GB2312" w:cs="仿宋_GB2312"/>
                <w:sz w:val="24"/>
                <w:szCs w:val="24"/>
                <w:highlight w:val="none"/>
                <w:lang w:eastAsia="zh-CN"/>
              </w:rPr>
              <w:t>；</w:t>
            </w:r>
            <w:r>
              <w:rPr>
                <w:rFonts w:hint="eastAsia" w:ascii="仿宋_GB2312" w:hAnsi="仿宋_GB2312" w:eastAsia="仿宋_GB2312" w:cs="仿宋_GB2312"/>
                <w:sz w:val="24"/>
                <w:szCs w:val="24"/>
                <w:highlight w:val="none"/>
              </w:rPr>
              <w:t>（</w:t>
            </w:r>
            <w:r>
              <w:rPr>
                <w:rFonts w:hint="eastAsia" w:ascii="仿宋_GB2312" w:hAnsi="仿宋_GB2312" w:eastAsia="仿宋_GB2312" w:cs="仿宋_GB2312"/>
                <w:sz w:val="24"/>
                <w:szCs w:val="24"/>
                <w:highlight w:val="none"/>
                <w:lang w:val="en-US" w:eastAsia="zh-CN"/>
              </w:rPr>
              <w:t>3</w:t>
            </w:r>
            <w:r>
              <w:rPr>
                <w:rFonts w:hint="eastAsia" w:ascii="仿宋_GB2312" w:hAnsi="仿宋_GB2312" w:eastAsia="仿宋_GB2312" w:cs="仿宋_GB2312"/>
                <w:sz w:val="24"/>
                <w:szCs w:val="24"/>
                <w:highlight w:val="none"/>
              </w:rPr>
              <w:t>）湖滨带生态缓冲带工程</w:t>
            </w:r>
            <w:r>
              <w:rPr>
                <w:rFonts w:hint="eastAsia" w:ascii="仿宋_GB2312" w:hAnsi="仿宋_GB2312" w:eastAsia="仿宋_GB2312" w:cs="仿宋_GB2312"/>
                <w:sz w:val="24"/>
                <w:szCs w:val="24"/>
                <w:highlight w:val="none"/>
                <w:lang w:eastAsia="zh-CN"/>
              </w:rPr>
              <w:t>；</w:t>
            </w:r>
            <w:r>
              <w:rPr>
                <w:rFonts w:hint="eastAsia" w:ascii="仿宋_GB2312" w:hAnsi="仿宋_GB2312" w:eastAsia="仿宋_GB2312" w:cs="仿宋_GB2312"/>
                <w:sz w:val="24"/>
                <w:szCs w:val="24"/>
                <w:highlight w:val="none"/>
              </w:rPr>
              <w:t>（</w:t>
            </w:r>
            <w:r>
              <w:rPr>
                <w:rFonts w:hint="eastAsia" w:ascii="仿宋_GB2312" w:hAnsi="仿宋_GB2312" w:eastAsia="仿宋_GB2312" w:cs="仿宋_GB2312"/>
                <w:sz w:val="24"/>
                <w:szCs w:val="24"/>
                <w:highlight w:val="none"/>
                <w:lang w:val="en-US" w:eastAsia="zh-CN"/>
              </w:rPr>
              <w:t>4</w:t>
            </w:r>
            <w:r>
              <w:rPr>
                <w:rFonts w:hint="eastAsia" w:ascii="仿宋_GB2312" w:hAnsi="仿宋_GB2312" w:eastAsia="仿宋_GB2312" w:cs="仿宋_GB2312"/>
                <w:sz w:val="24"/>
                <w:szCs w:val="24"/>
                <w:highlight w:val="none"/>
              </w:rPr>
              <w:t>）湖滨带生态护坡工程</w:t>
            </w:r>
            <w:r>
              <w:rPr>
                <w:rFonts w:hint="eastAsia" w:ascii="仿宋_GB2312" w:hAnsi="仿宋_GB2312" w:eastAsia="仿宋_GB2312" w:cs="仿宋_GB2312"/>
                <w:sz w:val="24"/>
                <w:szCs w:val="24"/>
                <w:highlight w:val="none"/>
                <w:lang w:eastAsia="zh-CN"/>
              </w:rPr>
              <w:t>；（</w:t>
            </w:r>
            <w:r>
              <w:rPr>
                <w:rFonts w:hint="eastAsia" w:ascii="仿宋_GB2312" w:hAnsi="仿宋_GB2312" w:eastAsia="仿宋_GB2312" w:cs="仿宋_GB2312"/>
                <w:sz w:val="24"/>
                <w:szCs w:val="24"/>
                <w:highlight w:val="none"/>
                <w:lang w:val="en-US" w:eastAsia="zh-CN"/>
              </w:rPr>
              <w:t>5</w:t>
            </w:r>
            <w:r>
              <w:rPr>
                <w:rFonts w:hint="eastAsia" w:ascii="仿宋_GB2312" w:hAnsi="仿宋_GB2312" w:eastAsia="仿宋_GB2312" w:cs="仿宋_GB2312"/>
                <w:sz w:val="24"/>
                <w:szCs w:val="24"/>
                <w:highlight w:val="none"/>
                <w:lang w:eastAsia="zh-CN"/>
              </w:rPr>
              <w:t>）</w:t>
            </w:r>
            <w:r>
              <w:rPr>
                <w:rFonts w:hint="eastAsia" w:ascii="仿宋_GB2312" w:hAnsi="仿宋_GB2312" w:eastAsia="仿宋_GB2312" w:cs="仿宋_GB2312"/>
                <w:sz w:val="24"/>
                <w:szCs w:val="24"/>
                <w:highlight w:val="none"/>
              </w:rPr>
              <w:t>水质监测系统</w:t>
            </w:r>
            <w:r>
              <w:rPr>
                <w:rFonts w:hint="eastAsia" w:ascii="仿宋_GB2312" w:hAnsi="仿宋_GB2312" w:eastAsia="仿宋_GB2312" w:cs="仿宋_GB2312"/>
                <w:sz w:val="24"/>
                <w:szCs w:val="24"/>
                <w:highlight w:val="none"/>
                <w:lang w:val="en-US" w:eastAsia="zh-CN"/>
              </w:rPr>
              <w:t>工程</w:t>
            </w:r>
            <w:r>
              <w:rPr>
                <w:rFonts w:hint="eastAsia" w:ascii="仿宋_GB2312" w:hAnsi="仿宋_GB2312" w:eastAsia="仿宋_GB2312" w:cs="仿宋_GB2312"/>
                <w:sz w:val="24"/>
                <w:szCs w:val="24"/>
                <w:highlight w:val="none"/>
              </w:rPr>
              <w:t>。</w:t>
            </w:r>
          </w:p>
        </w:tc>
        <w:tc>
          <w:tcPr>
            <w:tcW w:w="1410" w:type="dxa"/>
            <w:vAlign w:val="center"/>
          </w:tcPr>
          <w:p w14:paraId="2845032B">
            <w:pPr>
              <w:spacing w:line="286" w:lineRule="exact"/>
              <w:jc w:val="center"/>
              <w:rPr>
                <w:rFonts w:hint="eastAsia" w:ascii="仿宋_GB2312" w:hAnsi="仿宋_GB2312" w:eastAsia="仿宋_GB2312" w:cs="仿宋_GB2312"/>
                <w:kern w:val="2"/>
                <w:sz w:val="24"/>
                <w:szCs w:val="24"/>
                <w:highlight w:val="none"/>
                <w:lang w:val="en-US" w:eastAsia="zh-CN" w:bidi="ar-SA"/>
              </w:rPr>
            </w:pPr>
            <w:r>
              <w:rPr>
                <w:rFonts w:hint="eastAsia" w:ascii="仿宋_GB2312" w:hAnsi="仿宋_GB2312" w:eastAsia="仿宋_GB2312" w:cs="仿宋_GB2312"/>
                <w:sz w:val="24"/>
                <w:szCs w:val="24"/>
                <w:highlight w:val="none"/>
                <w:lang w:val="en-US" w:eastAsia="zh-CN"/>
              </w:rPr>
              <w:t>市生态环境局</w:t>
            </w:r>
          </w:p>
        </w:tc>
        <w:tc>
          <w:tcPr>
            <w:tcW w:w="1204" w:type="dxa"/>
            <w:vAlign w:val="center"/>
          </w:tcPr>
          <w:p w14:paraId="054368AE">
            <w:pPr>
              <w:spacing w:line="286" w:lineRule="exact"/>
              <w:jc w:val="center"/>
              <w:rPr>
                <w:rFonts w:hint="eastAsia" w:ascii="仿宋_GB2312" w:hAnsi="仿宋_GB2312" w:eastAsia="仿宋_GB2312" w:cs="仿宋_GB2312"/>
                <w:kern w:val="2"/>
                <w:sz w:val="24"/>
                <w:szCs w:val="24"/>
                <w:highlight w:val="none"/>
                <w:lang w:val="en-US" w:eastAsia="zh-CN" w:bidi="ar-SA"/>
              </w:rPr>
            </w:pPr>
            <w:r>
              <w:rPr>
                <w:rFonts w:hint="eastAsia" w:ascii="仿宋_GB2312" w:hAnsi="仿宋_GB2312" w:eastAsia="仿宋_GB2312" w:cs="仿宋_GB2312"/>
                <w:sz w:val="24"/>
                <w:szCs w:val="24"/>
                <w:highlight w:val="none"/>
                <w:lang w:val="en-US" w:eastAsia="zh-CN"/>
              </w:rPr>
              <w:t>2029</w:t>
            </w:r>
          </w:p>
        </w:tc>
        <w:tc>
          <w:tcPr>
            <w:tcW w:w="1417" w:type="dxa"/>
            <w:vAlign w:val="center"/>
          </w:tcPr>
          <w:p w14:paraId="2DEA00F6">
            <w:pPr>
              <w:spacing w:line="286" w:lineRule="exact"/>
              <w:jc w:val="center"/>
              <w:rPr>
                <w:rFonts w:hint="eastAsia" w:ascii="仿宋_GB2312" w:hAnsi="仿宋_GB2312" w:eastAsia="仿宋_GB2312" w:cs="仿宋_GB2312"/>
                <w:kern w:val="2"/>
                <w:sz w:val="24"/>
                <w:szCs w:val="24"/>
                <w:highlight w:val="none"/>
                <w:lang w:val="en-US" w:eastAsia="zh-CN" w:bidi="ar-SA"/>
              </w:rPr>
            </w:pPr>
            <w:r>
              <w:rPr>
                <w:rFonts w:hint="eastAsia" w:ascii="仿宋_GB2312" w:hAnsi="仿宋_GB2312" w:eastAsia="仿宋_GB2312" w:cs="仿宋_GB2312"/>
                <w:sz w:val="24"/>
                <w:szCs w:val="24"/>
                <w:highlight w:val="none"/>
                <w:lang w:val="en-US" w:eastAsia="zh-CN"/>
              </w:rPr>
              <w:t>1500</w:t>
            </w:r>
          </w:p>
        </w:tc>
      </w:tr>
      <w:tr w14:paraId="30F975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10" w:type="dxa"/>
            <w:vMerge w:val="restart"/>
            <w:vAlign w:val="center"/>
          </w:tcPr>
          <w:p w14:paraId="569D1E4A">
            <w:pPr>
              <w:spacing w:line="286" w:lineRule="exact"/>
              <w:jc w:val="center"/>
              <w:rPr>
                <w:rFonts w:hint="default" w:ascii="仿宋_GB2312" w:hAnsi="仿宋_GB2312" w:eastAsia="仿宋_GB2312" w:cs="仿宋_GB2312"/>
                <w:sz w:val="24"/>
                <w:szCs w:val="24"/>
                <w:highlight w:val="none"/>
                <w:lang w:val="en-US" w:eastAsia="zh-CN"/>
              </w:rPr>
            </w:pPr>
            <w:r>
              <w:rPr>
                <w:rFonts w:hint="eastAsia" w:ascii="仿宋_GB2312" w:hAnsi="仿宋_GB2312" w:eastAsia="仿宋_GB2312" w:cs="仿宋_GB2312"/>
                <w:sz w:val="24"/>
                <w:szCs w:val="24"/>
                <w:highlight w:val="none"/>
                <w:lang w:val="en-US" w:eastAsia="zh-CN"/>
              </w:rPr>
              <w:t>生态宜居</w:t>
            </w:r>
          </w:p>
        </w:tc>
        <w:tc>
          <w:tcPr>
            <w:tcW w:w="454" w:type="dxa"/>
            <w:vAlign w:val="center"/>
          </w:tcPr>
          <w:p w14:paraId="3B56CFD8">
            <w:pPr>
              <w:numPr>
                <w:ilvl w:val="0"/>
                <w:numId w:val="6"/>
              </w:numPr>
              <w:spacing w:line="286" w:lineRule="exact"/>
              <w:ind w:left="425" w:leftChars="0" w:hanging="425" w:firstLineChars="0"/>
              <w:jc w:val="center"/>
              <w:rPr>
                <w:rFonts w:hint="eastAsia" w:ascii="仿宋_GB2312" w:hAnsi="仿宋_GB2312" w:eastAsia="仿宋_GB2312" w:cs="仿宋_GB2312"/>
                <w:sz w:val="24"/>
                <w:szCs w:val="24"/>
                <w:highlight w:val="none"/>
              </w:rPr>
            </w:pPr>
          </w:p>
        </w:tc>
        <w:tc>
          <w:tcPr>
            <w:tcW w:w="1701" w:type="dxa"/>
            <w:vAlign w:val="center"/>
          </w:tcPr>
          <w:p w14:paraId="0AA2ADD3">
            <w:pPr>
              <w:spacing w:line="286" w:lineRule="exact"/>
              <w:jc w:val="center"/>
              <w:rPr>
                <w:rFonts w:hint="eastAsia" w:ascii="仿宋_GB2312" w:hAnsi="仿宋_GB2312" w:eastAsia="仿宋_GB2312" w:cs="仿宋_GB2312"/>
                <w:kern w:val="2"/>
                <w:sz w:val="24"/>
                <w:szCs w:val="24"/>
                <w:highlight w:val="none"/>
                <w:lang w:val="en-US" w:eastAsia="zh-CN" w:bidi="ar-SA"/>
              </w:rPr>
            </w:pPr>
            <w:r>
              <w:rPr>
                <w:rFonts w:hint="eastAsia" w:ascii="仿宋_GB2312" w:hAnsi="仿宋_GB2312" w:eastAsia="仿宋_GB2312" w:cs="仿宋_GB2312"/>
                <w:sz w:val="24"/>
                <w:szCs w:val="24"/>
                <w:highlight w:val="none"/>
              </w:rPr>
              <w:t>黄石市老城区胜阳港排水防涝设施改造工程</w:t>
            </w:r>
          </w:p>
        </w:tc>
        <w:tc>
          <w:tcPr>
            <w:tcW w:w="1191" w:type="dxa"/>
            <w:vAlign w:val="center"/>
          </w:tcPr>
          <w:p w14:paraId="4845BD07">
            <w:pPr>
              <w:spacing w:line="286" w:lineRule="exact"/>
              <w:jc w:val="left"/>
              <w:rPr>
                <w:rFonts w:hint="eastAsia" w:ascii="仿宋_GB2312" w:hAnsi="仿宋_GB2312" w:eastAsia="仿宋_GB2312" w:cs="仿宋_GB2312"/>
                <w:kern w:val="2"/>
                <w:sz w:val="24"/>
                <w:szCs w:val="24"/>
                <w:highlight w:val="none"/>
                <w:lang w:val="en-US" w:eastAsia="zh-CN" w:bidi="ar-SA"/>
              </w:rPr>
            </w:pPr>
            <w:r>
              <w:rPr>
                <w:rFonts w:hint="eastAsia" w:ascii="仿宋_GB2312" w:hAnsi="仿宋_GB2312" w:eastAsia="仿宋_GB2312" w:cs="仿宋_GB2312"/>
                <w:kern w:val="2"/>
                <w:sz w:val="24"/>
                <w:szCs w:val="24"/>
                <w:highlight w:val="none"/>
                <w:lang w:val="en-US" w:eastAsia="zh-CN" w:bidi="ar-SA"/>
              </w:rPr>
              <w:t>黄石港区</w:t>
            </w:r>
          </w:p>
        </w:tc>
        <w:tc>
          <w:tcPr>
            <w:tcW w:w="6287" w:type="dxa"/>
            <w:vAlign w:val="center"/>
          </w:tcPr>
          <w:p w14:paraId="4A5B967B">
            <w:pPr>
              <w:spacing w:line="286" w:lineRule="exact"/>
              <w:jc w:val="left"/>
              <w:rPr>
                <w:rFonts w:hint="eastAsia" w:ascii="仿宋_GB2312" w:hAnsi="仿宋_GB2312" w:eastAsia="仿宋_GB2312" w:cs="仿宋_GB2312"/>
                <w:kern w:val="2"/>
                <w:sz w:val="24"/>
                <w:szCs w:val="24"/>
                <w:highlight w:val="none"/>
                <w:lang w:val="en-US" w:eastAsia="zh-CN" w:bidi="ar-SA"/>
              </w:rPr>
            </w:pPr>
            <w:r>
              <w:rPr>
                <w:rFonts w:hint="eastAsia" w:ascii="仿宋_GB2312" w:hAnsi="仿宋_GB2312" w:eastAsia="仿宋_GB2312" w:cs="仿宋_GB2312"/>
                <w:sz w:val="24"/>
                <w:szCs w:val="24"/>
                <w:highlight w:val="none"/>
                <w:lang w:eastAsia="zh-CN"/>
              </w:rPr>
              <w:t>（1）</w:t>
            </w:r>
            <w:r>
              <w:rPr>
                <w:rFonts w:hint="eastAsia" w:ascii="仿宋_GB2312" w:hAnsi="仿宋_GB2312" w:eastAsia="仿宋_GB2312" w:cs="仿宋_GB2312"/>
                <w:sz w:val="24"/>
                <w:szCs w:val="24"/>
                <w:highlight w:val="none"/>
              </w:rPr>
              <w:t>更新改造片区DN400-DN1500排水管网共14854m，2.0*1.5-3.0*2.0m箱涵共1994米及2354个雨水、2562座检查井等附属设施建设。</w:t>
            </w:r>
            <w:r>
              <w:rPr>
                <w:rFonts w:hint="eastAsia" w:ascii="仿宋_GB2312" w:hAnsi="仿宋_GB2312" w:eastAsia="仿宋_GB2312" w:cs="仿宋_GB2312"/>
                <w:sz w:val="24"/>
                <w:szCs w:val="24"/>
                <w:highlight w:val="none"/>
                <w:lang w:eastAsia="zh-CN"/>
              </w:rPr>
              <w:t>（</w:t>
            </w:r>
            <w:r>
              <w:rPr>
                <w:rFonts w:hint="eastAsia" w:ascii="仿宋_GB2312" w:hAnsi="仿宋_GB2312" w:eastAsia="仿宋_GB2312" w:cs="仿宋_GB2312"/>
                <w:sz w:val="24"/>
                <w:szCs w:val="24"/>
                <w:highlight w:val="none"/>
              </w:rPr>
              <w:t>2</w:t>
            </w:r>
            <w:r>
              <w:rPr>
                <w:rFonts w:hint="eastAsia" w:ascii="仿宋_GB2312" w:hAnsi="仿宋_GB2312" w:eastAsia="仿宋_GB2312" w:cs="仿宋_GB2312"/>
                <w:sz w:val="24"/>
                <w:szCs w:val="24"/>
                <w:highlight w:val="none"/>
                <w:lang w:eastAsia="zh-CN"/>
              </w:rPr>
              <w:t>）</w:t>
            </w:r>
            <w:r>
              <w:rPr>
                <w:rFonts w:hint="eastAsia" w:ascii="仿宋_GB2312" w:hAnsi="仿宋_GB2312" w:eastAsia="仿宋_GB2312" w:cs="仿宋_GB2312"/>
                <w:sz w:val="24"/>
                <w:szCs w:val="24"/>
                <w:highlight w:val="none"/>
              </w:rPr>
              <w:t>对片区内380处混错接点DN400-DN1200排水管网共6126m进行更新改造</w:t>
            </w:r>
            <w:r>
              <w:rPr>
                <w:rFonts w:hint="eastAsia" w:ascii="仿宋_GB2312" w:hAnsi="仿宋_GB2312" w:eastAsia="仿宋_GB2312" w:cs="仿宋_GB2312"/>
                <w:sz w:val="24"/>
                <w:szCs w:val="24"/>
                <w:highlight w:val="none"/>
                <w:lang w:eastAsia="zh-CN"/>
              </w:rPr>
              <w:t>；</w:t>
            </w:r>
            <w:r>
              <w:rPr>
                <w:rFonts w:hint="eastAsia" w:ascii="仿宋_GB2312" w:hAnsi="仿宋_GB2312" w:eastAsia="仿宋_GB2312" w:cs="仿宋_GB2312"/>
                <w:sz w:val="24"/>
                <w:szCs w:val="24"/>
                <w:highlight w:val="none"/>
              </w:rPr>
              <w:t>对老城区街道111公顷地块区域内DN100-DN400排水管网共16487m进行更新改造。</w:t>
            </w:r>
            <w:r>
              <w:rPr>
                <w:rFonts w:hint="eastAsia" w:ascii="仿宋_GB2312" w:hAnsi="仿宋_GB2312" w:eastAsia="仿宋_GB2312" w:cs="仿宋_GB2312"/>
                <w:sz w:val="24"/>
                <w:szCs w:val="24"/>
                <w:highlight w:val="none"/>
                <w:lang w:eastAsia="zh-CN"/>
              </w:rPr>
              <w:t>（</w:t>
            </w:r>
            <w:r>
              <w:rPr>
                <w:rFonts w:hint="eastAsia" w:ascii="仿宋_GB2312" w:hAnsi="仿宋_GB2312" w:eastAsia="仿宋_GB2312" w:cs="仿宋_GB2312"/>
                <w:sz w:val="24"/>
                <w:szCs w:val="24"/>
                <w:highlight w:val="none"/>
              </w:rPr>
              <w:t>3</w:t>
            </w:r>
            <w:r>
              <w:rPr>
                <w:rFonts w:hint="eastAsia" w:ascii="仿宋_GB2312" w:hAnsi="仿宋_GB2312" w:eastAsia="仿宋_GB2312" w:cs="仿宋_GB2312"/>
                <w:sz w:val="24"/>
                <w:szCs w:val="24"/>
                <w:highlight w:val="none"/>
                <w:lang w:eastAsia="zh-CN"/>
              </w:rPr>
              <w:t>）</w:t>
            </w:r>
            <w:r>
              <w:rPr>
                <w:rFonts w:hint="eastAsia" w:ascii="仿宋_GB2312" w:hAnsi="仿宋_GB2312" w:eastAsia="仿宋_GB2312" w:cs="仿宋_GB2312"/>
                <w:sz w:val="24"/>
                <w:szCs w:val="24"/>
                <w:highlight w:val="none"/>
              </w:rPr>
              <w:t>对胜阳港约1000m排水通道进行修复，其中结构性缺陷共计143处，功能性缺陷共计15处。</w:t>
            </w:r>
            <w:r>
              <w:rPr>
                <w:rFonts w:hint="eastAsia" w:ascii="仿宋_GB2312" w:hAnsi="仿宋_GB2312" w:eastAsia="仿宋_GB2312" w:cs="仿宋_GB2312"/>
                <w:sz w:val="24"/>
                <w:szCs w:val="24"/>
                <w:highlight w:val="none"/>
                <w:lang w:eastAsia="zh-CN"/>
              </w:rPr>
              <w:t>（</w:t>
            </w:r>
            <w:r>
              <w:rPr>
                <w:rFonts w:hint="eastAsia" w:ascii="仿宋_GB2312" w:hAnsi="仿宋_GB2312" w:eastAsia="仿宋_GB2312" w:cs="仿宋_GB2312"/>
                <w:sz w:val="24"/>
                <w:szCs w:val="24"/>
                <w:highlight w:val="none"/>
              </w:rPr>
              <w:t>4</w:t>
            </w:r>
            <w:r>
              <w:rPr>
                <w:rFonts w:hint="eastAsia" w:ascii="仿宋_GB2312" w:hAnsi="仿宋_GB2312" w:eastAsia="仿宋_GB2312" w:cs="仿宋_GB2312"/>
                <w:sz w:val="24"/>
                <w:szCs w:val="24"/>
                <w:highlight w:val="none"/>
                <w:lang w:eastAsia="zh-CN"/>
              </w:rPr>
              <w:t>）</w:t>
            </w:r>
            <w:r>
              <w:rPr>
                <w:rFonts w:hint="eastAsia" w:ascii="仿宋_GB2312" w:hAnsi="仿宋_GB2312" w:eastAsia="仿宋_GB2312" w:cs="仿宋_GB2312"/>
                <w:sz w:val="24"/>
                <w:szCs w:val="24"/>
                <w:highlight w:val="none"/>
              </w:rPr>
              <w:t>拆除胜阳港排渍泵站现状7m</w:t>
            </w:r>
            <w:r>
              <w:rPr>
                <w:rFonts w:hint="eastAsia" w:ascii="仿宋_GB2312" w:hAnsi="仿宋_GB2312" w:eastAsia="仿宋_GB2312" w:cs="仿宋_GB2312"/>
                <w:sz w:val="24"/>
                <w:szCs w:val="24"/>
                <w:highlight w:val="none"/>
                <w:vertAlign w:val="superscript"/>
              </w:rPr>
              <w:t>3</w:t>
            </w:r>
            <w:r>
              <w:rPr>
                <w:rFonts w:hint="eastAsia" w:ascii="仿宋_GB2312" w:hAnsi="仿宋_GB2312" w:eastAsia="仿宋_GB2312" w:cs="仿宋_GB2312"/>
                <w:sz w:val="24"/>
                <w:szCs w:val="24"/>
                <w:highlight w:val="none"/>
              </w:rPr>
              <w:t>/s小泵站，新建为19m</w:t>
            </w:r>
            <w:r>
              <w:rPr>
                <w:rFonts w:hint="eastAsia" w:ascii="仿宋_GB2312" w:hAnsi="仿宋_GB2312" w:eastAsia="仿宋_GB2312" w:cs="仿宋_GB2312"/>
                <w:sz w:val="24"/>
                <w:szCs w:val="24"/>
                <w:highlight w:val="none"/>
                <w:vertAlign w:val="superscript"/>
              </w:rPr>
              <w:t>3</w:t>
            </w:r>
            <w:r>
              <w:rPr>
                <w:rFonts w:hint="eastAsia" w:ascii="仿宋_GB2312" w:hAnsi="仿宋_GB2312" w:eastAsia="仿宋_GB2312" w:cs="仿宋_GB2312"/>
                <w:sz w:val="24"/>
                <w:szCs w:val="24"/>
                <w:highlight w:val="none"/>
              </w:rPr>
              <w:t>/s泵站，配置立式混流泵、潜污放空泵等20套排水防涝设备</w:t>
            </w:r>
            <w:r>
              <w:rPr>
                <w:rFonts w:hint="eastAsia" w:ascii="仿宋_GB2312" w:hAnsi="仿宋_GB2312" w:eastAsia="仿宋_GB2312" w:cs="仿宋_GB2312"/>
                <w:sz w:val="24"/>
                <w:szCs w:val="24"/>
                <w:highlight w:val="none"/>
                <w:lang w:eastAsia="zh-CN"/>
              </w:rPr>
              <w:t>；</w:t>
            </w:r>
            <w:r>
              <w:rPr>
                <w:rFonts w:hint="eastAsia" w:ascii="仿宋_GB2312" w:hAnsi="仿宋_GB2312" w:eastAsia="仿宋_GB2312" w:cs="仿宋_GB2312"/>
                <w:sz w:val="24"/>
                <w:szCs w:val="24"/>
                <w:highlight w:val="none"/>
              </w:rPr>
              <w:t>同时改造泵站范围内现状2-5*4.5m排水箱涵约100m</w:t>
            </w:r>
            <w:r>
              <w:rPr>
                <w:rFonts w:hint="eastAsia" w:ascii="仿宋_GB2312" w:hAnsi="仿宋_GB2312" w:eastAsia="仿宋_GB2312" w:cs="仿宋_GB2312"/>
                <w:sz w:val="24"/>
                <w:szCs w:val="24"/>
                <w:highlight w:val="none"/>
                <w:lang w:eastAsia="zh-CN"/>
              </w:rPr>
              <w:t>。</w:t>
            </w:r>
          </w:p>
        </w:tc>
        <w:tc>
          <w:tcPr>
            <w:tcW w:w="1410" w:type="dxa"/>
            <w:vAlign w:val="center"/>
          </w:tcPr>
          <w:p w14:paraId="7D277774">
            <w:pPr>
              <w:spacing w:line="286" w:lineRule="exact"/>
              <w:jc w:val="center"/>
              <w:rPr>
                <w:rFonts w:hint="eastAsia" w:ascii="仿宋_GB2312" w:hAnsi="仿宋_GB2312" w:eastAsia="仿宋_GB2312" w:cs="仿宋_GB2312"/>
                <w:kern w:val="2"/>
                <w:sz w:val="24"/>
                <w:szCs w:val="24"/>
                <w:highlight w:val="none"/>
                <w:lang w:val="en-US" w:eastAsia="zh-CN" w:bidi="ar-SA"/>
              </w:rPr>
            </w:pPr>
            <w:r>
              <w:rPr>
                <w:rFonts w:hint="eastAsia" w:ascii="仿宋_GB2312" w:hAnsi="仿宋_GB2312" w:eastAsia="仿宋_GB2312" w:cs="仿宋_GB2312"/>
                <w:sz w:val="24"/>
                <w:szCs w:val="24"/>
                <w:highlight w:val="none"/>
                <w:lang w:val="en-US" w:eastAsia="zh-CN"/>
              </w:rPr>
              <w:t>市城管委</w:t>
            </w:r>
          </w:p>
        </w:tc>
        <w:tc>
          <w:tcPr>
            <w:tcW w:w="1204" w:type="dxa"/>
            <w:vAlign w:val="center"/>
          </w:tcPr>
          <w:p w14:paraId="11F1B64A">
            <w:pPr>
              <w:spacing w:line="286" w:lineRule="exact"/>
              <w:jc w:val="center"/>
              <w:rPr>
                <w:rFonts w:hint="default" w:ascii="仿宋_GB2312" w:hAnsi="仿宋_GB2312" w:eastAsia="仿宋_GB2312" w:cs="仿宋_GB2312"/>
                <w:kern w:val="2"/>
                <w:sz w:val="24"/>
                <w:szCs w:val="24"/>
                <w:highlight w:val="none"/>
                <w:lang w:val="en-US" w:eastAsia="zh-CN" w:bidi="ar-SA"/>
              </w:rPr>
            </w:pPr>
            <w:r>
              <w:rPr>
                <w:rFonts w:hint="eastAsia" w:ascii="仿宋_GB2312" w:hAnsi="仿宋_GB2312" w:eastAsia="仿宋_GB2312" w:cs="仿宋_GB2312"/>
                <w:sz w:val="24"/>
                <w:szCs w:val="24"/>
                <w:highlight w:val="none"/>
                <w:lang w:val="en-US" w:eastAsia="zh-CN"/>
              </w:rPr>
              <w:t>2026</w:t>
            </w:r>
          </w:p>
        </w:tc>
        <w:tc>
          <w:tcPr>
            <w:tcW w:w="1417" w:type="dxa"/>
            <w:vAlign w:val="center"/>
          </w:tcPr>
          <w:p w14:paraId="581F5650">
            <w:pPr>
              <w:spacing w:line="286" w:lineRule="exact"/>
              <w:jc w:val="center"/>
              <w:rPr>
                <w:rFonts w:hint="eastAsia" w:ascii="仿宋_GB2312" w:hAnsi="仿宋_GB2312" w:eastAsia="仿宋_GB2312" w:cs="仿宋_GB2312"/>
                <w:kern w:val="2"/>
                <w:sz w:val="24"/>
                <w:szCs w:val="24"/>
                <w:highlight w:val="none"/>
                <w:lang w:val="en-US" w:eastAsia="zh-CN" w:bidi="ar-SA"/>
              </w:rPr>
            </w:pPr>
            <w:r>
              <w:rPr>
                <w:rFonts w:hint="eastAsia" w:ascii="仿宋_GB2312" w:hAnsi="仿宋_GB2312" w:eastAsia="仿宋_GB2312" w:cs="仿宋_GB2312"/>
                <w:sz w:val="24"/>
                <w:szCs w:val="24"/>
                <w:highlight w:val="none"/>
                <w:lang w:val="en-US" w:eastAsia="zh-CN"/>
              </w:rPr>
              <w:t>58465</w:t>
            </w:r>
          </w:p>
        </w:tc>
      </w:tr>
      <w:tr w14:paraId="72EB0B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10" w:type="dxa"/>
            <w:vMerge w:val="continue"/>
            <w:vAlign w:val="center"/>
          </w:tcPr>
          <w:p w14:paraId="46D7D874">
            <w:pPr>
              <w:spacing w:line="286" w:lineRule="exact"/>
              <w:jc w:val="center"/>
              <w:rPr>
                <w:rFonts w:hint="default" w:ascii="仿宋_GB2312" w:hAnsi="仿宋_GB2312" w:eastAsia="仿宋_GB2312" w:cs="仿宋_GB2312"/>
                <w:sz w:val="24"/>
                <w:szCs w:val="24"/>
                <w:highlight w:val="none"/>
                <w:lang w:val="en-US" w:eastAsia="zh-CN"/>
              </w:rPr>
            </w:pPr>
          </w:p>
        </w:tc>
        <w:tc>
          <w:tcPr>
            <w:tcW w:w="454" w:type="dxa"/>
            <w:vAlign w:val="center"/>
          </w:tcPr>
          <w:p w14:paraId="123C0E6E">
            <w:pPr>
              <w:numPr>
                <w:ilvl w:val="0"/>
                <w:numId w:val="6"/>
              </w:numPr>
              <w:spacing w:line="286" w:lineRule="exact"/>
              <w:ind w:left="425" w:leftChars="0" w:hanging="425" w:firstLineChars="0"/>
              <w:jc w:val="center"/>
              <w:rPr>
                <w:rFonts w:hint="eastAsia" w:ascii="仿宋_GB2312" w:hAnsi="仿宋_GB2312" w:eastAsia="仿宋_GB2312" w:cs="仿宋_GB2312"/>
                <w:sz w:val="24"/>
                <w:szCs w:val="24"/>
                <w:highlight w:val="none"/>
              </w:rPr>
            </w:pPr>
          </w:p>
        </w:tc>
        <w:tc>
          <w:tcPr>
            <w:tcW w:w="1701" w:type="dxa"/>
            <w:vAlign w:val="center"/>
          </w:tcPr>
          <w:p w14:paraId="4F6C6C77">
            <w:pPr>
              <w:spacing w:line="286" w:lineRule="exact"/>
              <w:jc w:val="center"/>
              <w:rPr>
                <w:rFonts w:hint="eastAsia" w:ascii="仿宋_GB2312" w:hAnsi="仿宋_GB2312" w:eastAsia="仿宋_GB2312" w:cs="仿宋_GB2312"/>
                <w:kern w:val="2"/>
                <w:sz w:val="24"/>
                <w:szCs w:val="24"/>
                <w:highlight w:val="none"/>
                <w:lang w:val="en-US" w:eastAsia="zh-CN" w:bidi="ar-SA"/>
              </w:rPr>
            </w:pPr>
            <w:r>
              <w:rPr>
                <w:rFonts w:hint="eastAsia" w:ascii="仿宋_GB2312" w:hAnsi="仿宋_GB2312" w:eastAsia="仿宋_GB2312" w:cs="仿宋_GB2312"/>
                <w:sz w:val="24"/>
                <w:szCs w:val="24"/>
                <w:highlight w:val="none"/>
              </w:rPr>
              <w:t>下陆区污水管网系统整治及提标治理工程</w:t>
            </w:r>
          </w:p>
        </w:tc>
        <w:tc>
          <w:tcPr>
            <w:tcW w:w="1191" w:type="dxa"/>
            <w:vAlign w:val="center"/>
          </w:tcPr>
          <w:p w14:paraId="0BD41F65">
            <w:pPr>
              <w:spacing w:line="286" w:lineRule="exact"/>
              <w:jc w:val="center"/>
              <w:rPr>
                <w:rFonts w:hint="eastAsia" w:ascii="仿宋_GB2312" w:hAnsi="仿宋_GB2312" w:eastAsia="仿宋_GB2312" w:cs="仿宋_GB2312"/>
                <w:kern w:val="2"/>
                <w:sz w:val="24"/>
                <w:szCs w:val="24"/>
                <w:highlight w:val="none"/>
                <w:lang w:val="en-US" w:eastAsia="zh-CN" w:bidi="ar-SA"/>
              </w:rPr>
            </w:pPr>
            <w:r>
              <w:rPr>
                <w:rFonts w:hint="eastAsia" w:ascii="仿宋_GB2312" w:hAnsi="仿宋_GB2312" w:eastAsia="仿宋_GB2312" w:cs="仿宋_GB2312"/>
                <w:sz w:val="24"/>
                <w:szCs w:val="24"/>
                <w:highlight w:val="none"/>
                <w:lang w:val="en-US" w:eastAsia="zh-CN"/>
              </w:rPr>
              <w:t>下陆区</w:t>
            </w:r>
          </w:p>
        </w:tc>
        <w:tc>
          <w:tcPr>
            <w:tcW w:w="6287" w:type="dxa"/>
            <w:vAlign w:val="center"/>
          </w:tcPr>
          <w:p w14:paraId="22A18EA3">
            <w:pPr>
              <w:spacing w:line="286" w:lineRule="exact"/>
              <w:jc w:val="left"/>
              <w:rPr>
                <w:rFonts w:hint="eastAsia" w:ascii="仿宋_GB2312" w:hAnsi="仿宋_GB2312" w:eastAsia="仿宋_GB2312" w:cs="仿宋_GB2312"/>
                <w:kern w:val="2"/>
                <w:sz w:val="24"/>
                <w:szCs w:val="24"/>
                <w:highlight w:val="none"/>
                <w:lang w:val="en-US" w:eastAsia="zh-CN" w:bidi="ar-SA"/>
              </w:rPr>
            </w:pPr>
            <w:r>
              <w:rPr>
                <w:rFonts w:hint="eastAsia" w:ascii="仿宋_GB2312" w:hAnsi="仿宋_GB2312" w:eastAsia="仿宋_GB2312" w:cs="仿宋_GB2312"/>
                <w:sz w:val="24"/>
                <w:szCs w:val="24"/>
                <w:highlight w:val="none"/>
              </w:rPr>
              <w:t>主要建设内容</w:t>
            </w:r>
            <w:r>
              <w:rPr>
                <w:rFonts w:hint="eastAsia" w:ascii="仿宋_GB2312" w:hAnsi="仿宋_GB2312" w:eastAsia="仿宋_GB2312" w:cs="仿宋_GB2312"/>
                <w:sz w:val="24"/>
                <w:szCs w:val="24"/>
                <w:highlight w:val="none"/>
                <w:lang w:val="en-US" w:eastAsia="zh-CN"/>
              </w:rPr>
              <w:t>包括</w:t>
            </w:r>
            <w:r>
              <w:rPr>
                <w:rFonts w:hint="eastAsia" w:ascii="仿宋_GB2312" w:hAnsi="仿宋_GB2312" w:eastAsia="仿宋_GB2312" w:cs="仿宋_GB2312"/>
                <w:sz w:val="24"/>
                <w:szCs w:val="24"/>
                <w:highlight w:val="none"/>
              </w:rPr>
              <w:t>对长乐山片区管网更新改造工程、东方山片区配套排水管网系统提标改造项目、张家湖片区老化排水系统提标更新工程、彭家堑港片区污水管网系统整治及提标治理工程、老下陆片区排水管网更新改造项目、新下陆片区老化污水管网更新改造工程等6个片区污水管网进行更新改造。</w:t>
            </w:r>
          </w:p>
        </w:tc>
        <w:tc>
          <w:tcPr>
            <w:tcW w:w="1410" w:type="dxa"/>
            <w:vAlign w:val="center"/>
          </w:tcPr>
          <w:p w14:paraId="327944AA">
            <w:pPr>
              <w:spacing w:line="286" w:lineRule="exact"/>
              <w:jc w:val="center"/>
              <w:rPr>
                <w:rFonts w:hint="eastAsia" w:ascii="仿宋_GB2312" w:hAnsi="仿宋_GB2312" w:eastAsia="仿宋_GB2312" w:cs="仿宋_GB2312"/>
                <w:kern w:val="2"/>
                <w:sz w:val="24"/>
                <w:szCs w:val="24"/>
                <w:highlight w:val="none"/>
                <w:lang w:val="en-US" w:eastAsia="zh-CN" w:bidi="ar-SA"/>
              </w:rPr>
            </w:pPr>
            <w:r>
              <w:rPr>
                <w:rFonts w:hint="eastAsia" w:ascii="仿宋_GB2312" w:hAnsi="仿宋_GB2312" w:eastAsia="仿宋_GB2312" w:cs="仿宋_GB2312"/>
                <w:sz w:val="24"/>
                <w:szCs w:val="24"/>
                <w:highlight w:val="none"/>
                <w:lang w:val="en-US" w:eastAsia="zh-CN"/>
              </w:rPr>
              <w:t>市城管委</w:t>
            </w:r>
          </w:p>
        </w:tc>
        <w:tc>
          <w:tcPr>
            <w:tcW w:w="1204" w:type="dxa"/>
            <w:vAlign w:val="center"/>
          </w:tcPr>
          <w:p w14:paraId="44AC9408">
            <w:pPr>
              <w:spacing w:line="286" w:lineRule="exact"/>
              <w:jc w:val="center"/>
              <w:rPr>
                <w:rFonts w:hint="eastAsia" w:ascii="仿宋_GB2312" w:hAnsi="仿宋_GB2312" w:eastAsia="仿宋_GB2312" w:cs="仿宋_GB2312"/>
                <w:kern w:val="2"/>
                <w:sz w:val="24"/>
                <w:szCs w:val="24"/>
                <w:highlight w:val="none"/>
                <w:lang w:val="en-US" w:eastAsia="zh-CN" w:bidi="ar-SA"/>
              </w:rPr>
            </w:pPr>
            <w:r>
              <w:rPr>
                <w:rFonts w:hint="eastAsia" w:ascii="仿宋_GB2312" w:hAnsi="仿宋_GB2312" w:eastAsia="仿宋_GB2312" w:cs="仿宋_GB2312"/>
                <w:sz w:val="24"/>
                <w:szCs w:val="24"/>
                <w:highlight w:val="none"/>
                <w:lang w:val="en-US" w:eastAsia="zh-CN"/>
              </w:rPr>
              <w:t>2026</w:t>
            </w:r>
          </w:p>
        </w:tc>
        <w:tc>
          <w:tcPr>
            <w:tcW w:w="1417" w:type="dxa"/>
            <w:vAlign w:val="center"/>
          </w:tcPr>
          <w:p w14:paraId="5FBA6BB4">
            <w:pPr>
              <w:spacing w:line="286" w:lineRule="exact"/>
              <w:jc w:val="center"/>
              <w:rPr>
                <w:rFonts w:hint="default" w:ascii="仿宋_GB2312" w:hAnsi="仿宋_GB2312" w:eastAsia="仿宋_GB2312" w:cs="仿宋_GB2312"/>
                <w:kern w:val="2"/>
                <w:sz w:val="24"/>
                <w:szCs w:val="24"/>
                <w:highlight w:val="none"/>
                <w:lang w:val="en-US" w:eastAsia="zh-CN" w:bidi="ar-SA"/>
              </w:rPr>
            </w:pPr>
            <w:r>
              <w:rPr>
                <w:rFonts w:hint="eastAsia" w:ascii="仿宋_GB2312" w:hAnsi="仿宋_GB2312" w:eastAsia="仿宋_GB2312" w:cs="仿宋_GB2312"/>
                <w:sz w:val="24"/>
                <w:szCs w:val="24"/>
                <w:highlight w:val="none"/>
                <w:lang w:val="en-US" w:eastAsia="zh-CN"/>
              </w:rPr>
              <w:t>133800</w:t>
            </w:r>
          </w:p>
        </w:tc>
      </w:tr>
      <w:tr w14:paraId="0F2BFA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10" w:type="dxa"/>
            <w:vMerge w:val="continue"/>
            <w:vAlign w:val="center"/>
          </w:tcPr>
          <w:p w14:paraId="178A8DE3">
            <w:pPr>
              <w:spacing w:line="286" w:lineRule="exact"/>
              <w:jc w:val="center"/>
              <w:rPr>
                <w:rFonts w:ascii="仿宋_GB2312" w:hAnsi="仿宋_GB2312" w:eastAsia="仿宋_GB2312" w:cs="仿宋_GB2312"/>
                <w:sz w:val="24"/>
                <w:szCs w:val="24"/>
                <w:highlight w:val="none"/>
              </w:rPr>
            </w:pPr>
          </w:p>
        </w:tc>
        <w:tc>
          <w:tcPr>
            <w:tcW w:w="454" w:type="dxa"/>
            <w:vAlign w:val="center"/>
          </w:tcPr>
          <w:p w14:paraId="02E60A02">
            <w:pPr>
              <w:numPr>
                <w:ilvl w:val="0"/>
                <w:numId w:val="6"/>
              </w:numPr>
              <w:spacing w:line="286" w:lineRule="exact"/>
              <w:ind w:left="425" w:leftChars="0" w:hanging="425" w:firstLineChars="0"/>
              <w:jc w:val="center"/>
              <w:rPr>
                <w:rFonts w:hint="eastAsia" w:ascii="仿宋_GB2312" w:hAnsi="仿宋_GB2312" w:eastAsia="仿宋_GB2312" w:cs="仿宋_GB2312"/>
                <w:sz w:val="24"/>
                <w:szCs w:val="24"/>
                <w:highlight w:val="none"/>
              </w:rPr>
            </w:pPr>
          </w:p>
        </w:tc>
        <w:tc>
          <w:tcPr>
            <w:tcW w:w="1701" w:type="dxa"/>
            <w:vAlign w:val="center"/>
          </w:tcPr>
          <w:p w14:paraId="3760C079">
            <w:pPr>
              <w:spacing w:line="286" w:lineRule="exact"/>
              <w:jc w:val="center"/>
              <w:rPr>
                <w:rFonts w:hint="eastAsia" w:ascii="仿宋_GB2312" w:hAnsi="仿宋_GB2312" w:eastAsia="仿宋_GB2312" w:cs="仿宋_GB2312"/>
                <w:kern w:val="2"/>
                <w:sz w:val="24"/>
                <w:szCs w:val="24"/>
                <w:highlight w:val="none"/>
                <w:lang w:val="en-US" w:eastAsia="zh-CN" w:bidi="ar-SA"/>
              </w:rPr>
            </w:pPr>
            <w:r>
              <w:rPr>
                <w:rFonts w:hint="eastAsia" w:ascii="仿宋_GB2312" w:hAnsi="仿宋_GB2312" w:eastAsia="仿宋_GB2312" w:cs="仿宋_GB2312"/>
                <w:sz w:val="24"/>
                <w:szCs w:val="24"/>
                <w:highlight w:val="none"/>
              </w:rPr>
              <w:t>下陆区团城山片老旧街区改造升级项目</w:t>
            </w:r>
          </w:p>
        </w:tc>
        <w:tc>
          <w:tcPr>
            <w:tcW w:w="1191" w:type="dxa"/>
            <w:vAlign w:val="center"/>
          </w:tcPr>
          <w:p w14:paraId="7771310D">
            <w:pPr>
              <w:spacing w:line="286" w:lineRule="exact"/>
              <w:jc w:val="center"/>
              <w:rPr>
                <w:rFonts w:hint="default" w:ascii="仿宋_GB2312" w:hAnsi="仿宋_GB2312" w:eastAsia="仿宋_GB2312" w:cs="仿宋_GB2312"/>
                <w:kern w:val="2"/>
                <w:sz w:val="24"/>
                <w:szCs w:val="24"/>
                <w:highlight w:val="none"/>
                <w:lang w:val="en-US" w:eastAsia="zh-CN" w:bidi="ar-SA"/>
              </w:rPr>
            </w:pPr>
            <w:r>
              <w:rPr>
                <w:rFonts w:hint="eastAsia" w:ascii="仿宋_GB2312" w:hAnsi="仿宋_GB2312" w:eastAsia="仿宋_GB2312" w:cs="仿宋_GB2312"/>
                <w:sz w:val="24"/>
                <w:szCs w:val="24"/>
                <w:highlight w:val="none"/>
                <w:lang w:val="en-US" w:eastAsia="zh-CN"/>
              </w:rPr>
              <w:t>下陆区</w:t>
            </w:r>
          </w:p>
        </w:tc>
        <w:tc>
          <w:tcPr>
            <w:tcW w:w="6287" w:type="dxa"/>
            <w:vAlign w:val="center"/>
          </w:tcPr>
          <w:p w14:paraId="2E5F26B6">
            <w:pPr>
              <w:spacing w:line="286" w:lineRule="exact"/>
              <w:jc w:val="left"/>
              <w:rPr>
                <w:rFonts w:hint="eastAsia" w:ascii="仿宋_GB2312" w:hAnsi="仿宋_GB2312" w:eastAsia="仿宋_GB2312" w:cs="仿宋_GB2312"/>
                <w:kern w:val="2"/>
                <w:sz w:val="24"/>
                <w:szCs w:val="24"/>
                <w:highlight w:val="none"/>
                <w:lang w:val="en-US" w:eastAsia="zh-CN" w:bidi="ar-SA"/>
              </w:rPr>
            </w:pPr>
            <w:r>
              <w:rPr>
                <w:rFonts w:hint="eastAsia" w:ascii="仿宋_GB2312" w:hAnsi="仿宋_GB2312" w:eastAsia="仿宋_GB2312" w:cs="仿宋_GB2312"/>
                <w:sz w:val="24"/>
                <w:szCs w:val="24"/>
                <w:highlight w:val="none"/>
              </w:rPr>
              <w:t>对团城山地区的老旧街区进行改造，具体包括：1.道路基础设施改造；2.街道立面改造配套设置智慧灯杆；3.改造新增硬化铺装及道路；4.新建停车场，并配套停车位充电桩；5.改造室外给水管网、雨水管道、污水管道</w:t>
            </w:r>
            <w:r>
              <w:rPr>
                <w:rFonts w:hint="eastAsia" w:ascii="仿宋_GB2312" w:hAnsi="仿宋_GB2312" w:eastAsia="仿宋_GB2312" w:cs="仿宋_GB2312"/>
                <w:sz w:val="24"/>
                <w:szCs w:val="24"/>
                <w:highlight w:val="none"/>
                <w:lang w:eastAsia="zh-CN"/>
              </w:rPr>
              <w:t>、</w:t>
            </w:r>
            <w:r>
              <w:rPr>
                <w:rFonts w:hint="eastAsia" w:ascii="仿宋_GB2312" w:hAnsi="仿宋_GB2312" w:eastAsia="仿宋_GB2312" w:cs="仿宋_GB2312"/>
                <w:sz w:val="24"/>
                <w:szCs w:val="24"/>
                <w:highlight w:val="none"/>
              </w:rPr>
              <w:t>线路改造；6.新增垃圾分类收集设施</w:t>
            </w:r>
            <w:r>
              <w:rPr>
                <w:rFonts w:hint="eastAsia" w:ascii="仿宋_GB2312" w:hAnsi="仿宋_GB2312" w:eastAsia="仿宋_GB2312" w:cs="仿宋_GB2312"/>
                <w:sz w:val="24"/>
                <w:szCs w:val="24"/>
                <w:highlight w:val="none"/>
                <w:lang w:eastAsia="zh-CN"/>
              </w:rPr>
              <w:t>；</w:t>
            </w:r>
            <w:r>
              <w:rPr>
                <w:rFonts w:hint="eastAsia" w:ascii="仿宋_GB2312" w:hAnsi="仿宋_GB2312" w:eastAsia="仿宋_GB2312" w:cs="仿宋_GB2312"/>
                <w:sz w:val="24"/>
                <w:szCs w:val="24"/>
                <w:highlight w:val="none"/>
                <w:lang w:val="en-US" w:eastAsia="zh-CN"/>
              </w:rPr>
              <w:t>7.</w:t>
            </w:r>
            <w:r>
              <w:rPr>
                <w:rFonts w:hint="eastAsia" w:ascii="仿宋_GB2312" w:hAnsi="仿宋_GB2312" w:eastAsia="仿宋_GB2312" w:cs="仿宋_GB2312"/>
                <w:sz w:val="24"/>
                <w:szCs w:val="24"/>
                <w:highlight w:val="none"/>
              </w:rPr>
              <w:t>完善消防管道及消防栓等消防设施。</w:t>
            </w:r>
          </w:p>
        </w:tc>
        <w:tc>
          <w:tcPr>
            <w:tcW w:w="1410" w:type="dxa"/>
            <w:vAlign w:val="center"/>
          </w:tcPr>
          <w:p w14:paraId="7C8E1C5F">
            <w:pPr>
              <w:spacing w:line="286" w:lineRule="exact"/>
              <w:jc w:val="center"/>
              <w:rPr>
                <w:rFonts w:hint="default" w:ascii="仿宋_GB2312" w:hAnsi="仿宋_GB2312" w:eastAsia="仿宋_GB2312" w:cs="仿宋_GB2312"/>
                <w:kern w:val="2"/>
                <w:sz w:val="24"/>
                <w:szCs w:val="24"/>
                <w:highlight w:val="none"/>
                <w:lang w:val="en-US" w:eastAsia="zh-CN" w:bidi="ar-SA"/>
              </w:rPr>
            </w:pPr>
            <w:r>
              <w:rPr>
                <w:rFonts w:hint="eastAsia" w:ascii="仿宋_GB2312" w:hAnsi="仿宋_GB2312" w:eastAsia="仿宋_GB2312" w:cs="仿宋_GB2312"/>
                <w:sz w:val="24"/>
                <w:szCs w:val="24"/>
                <w:highlight w:val="none"/>
                <w:lang w:val="en-US" w:eastAsia="zh-CN"/>
              </w:rPr>
              <w:t>市住房和城市更新局</w:t>
            </w:r>
          </w:p>
        </w:tc>
        <w:tc>
          <w:tcPr>
            <w:tcW w:w="1204" w:type="dxa"/>
            <w:vAlign w:val="center"/>
          </w:tcPr>
          <w:p w14:paraId="183BC4BC">
            <w:pPr>
              <w:spacing w:line="286" w:lineRule="exact"/>
              <w:jc w:val="center"/>
              <w:rPr>
                <w:rFonts w:hint="default" w:ascii="仿宋_GB2312" w:hAnsi="仿宋_GB2312" w:eastAsia="仿宋_GB2312" w:cs="仿宋_GB2312"/>
                <w:kern w:val="2"/>
                <w:sz w:val="24"/>
                <w:szCs w:val="24"/>
                <w:highlight w:val="none"/>
                <w:lang w:val="en-US" w:eastAsia="zh-CN" w:bidi="ar-SA"/>
              </w:rPr>
            </w:pPr>
            <w:r>
              <w:rPr>
                <w:rFonts w:hint="eastAsia" w:ascii="仿宋_GB2312" w:hAnsi="仿宋_GB2312" w:eastAsia="仿宋_GB2312" w:cs="仿宋_GB2312"/>
                <w:sz w:val="24"/>
                <w:szCs w:val="24"/>
                <w:highlight w:val="none"/>
                <w:lang w:val="en-US" w:eastAsia="zh-CN"/>
              </w:rPr>
              <w:t>2026</w:t>
            </w:r>
          </w:p>
        </w:tc>
        <w:tc>
          <w:tcPr>
            <w:tcW w:w="1417" w:type="dxa"/>
            <w:vAlign w:val="center"/>
          </w:tcPr>
          <w:p w14:paraId="5E7B4E18">
            <w:pPr>
              <w:spacing w:line="286" w:lineRule="exact"/>
              <w:jc w:val="center"/>
              <w:rPr>
                <w:rFonts w:hint="default" w:ascii="仿宋_GB2312" w:hAnsi="仿宋_GB2312" w:eastAsia="仿宋_GB2312" w:cs="仿宋_GB2312"/>
                <w:kern w:val="2"/>
                <w:sz w:val="24"/>
                <w:szCs w:val="24"/>
                <w:highlight w:val="none"/>
                <w:lang w:val="en-US" w:eastAsia="zh-CN" w:bidi="ar-SA"/>
              </w:rPr>
            </w:pPr>
            <w:r>
              <w:rPr>
                <w:rFonts w:hint="eastAsia" w:ascii="仿宋_GB2312" w:hAnsi="仿宋_GB2312" w:eastAsia="仿宋_GB2312" w:cs="仿宋_GB2312"/>
                <w:sz w:val="24"/>
                <w:szCs w:val="24"/>
                <w:highlight w:val="none"/>
                <w:lang w:val="en-US" w:eastAsia="zh-CN"/>
              </w:rPr>
              <w:t>50000</w:t>
            </w:r>
          </w:p>
        </w:tc>
      </w:tr>
      <w:tr w14:paraId="58ECF0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10" w:type="dxa"/>
            <w:vAlign w:val="center"/>
          </w:tcPr>
          <w:p w14:paraId="432E16DE">
            <w:pPr>
              <w:spacing w:line="280" w:lineRule="exact"/>
              <w:jc w:val="center"/>
              <w:rPr>
                <w:rFonts w:ascii="仿宋_GB2312" w:hAnsi="仿宋_GB2312" w:eastAsia="仿宋_GB2312" w:cs="仿宋_GB2312"/>
                <w:kern w:val="2"/>
                <w:sz w:val="24"/>
                <w:szCs w:val="24"/>
                <w:highlight w:val="none"/>
                <w:lang w:val="en-US" w:eastAsia="zh-CN" w:bidi="ar-SA"/>
              </w:rPr>
            </w:pPr>
            <w:r>
              <w:rPr>
                <w:rFonts w:hint="eastAsia" w:ascii="仿宋_GB2312" w:hAnsi="仿宋_GB2312" w:eastAsia="仿宋_GB2312" w:cs="仿宋_GB2312"/>
                <w:sz w:val="24"/>
                <w:szCs w:val="24"/>
                <w:highlight w:val="none"/>
              </w:rPr>
              <w:t>安全健康</w:t>
            </w:r>
          </w:p>
        </w:tc>
        <w:tc>
          <w:tcPr>
            <w:tcW w:w="454" w:type="dxa"/>
            <w:vAlign w:val="center"/>
          </w:tcPr>
          <w:p w14:paraId="41C62684">
            <w:pPr>
              <w:numPr>
                <w:ilvl w:val="0"/>
                <w:numId w:val="6"/>
              </w:numPr>
              <w:spacing w:line="286" w:lineRule="exact"/>
              <w:ind w:left="425" w:leftChars="0" w:hanging="425" w:firstLineChars="0"/>
              <w:jc w:val="center"/>
              <w:rPr>
                <w:rFonts w:hint="eastAsia" w:ascii="仿宋_GB2312" w:hAnsi="仿宋_GB2312" w:eastAsia="仿宋_GB2312" w:cs="仿宋_GB2312"/>
                <w:sz w:val="24"/>
                <w:szCs w:val="24"/>
                <w:highlight w:val="none"/>
              </w:rPr>
            </w:pPr>
          </w:p>
        </w:tc>
        <w:tc>
          <w:tcPr>
            <w:tcW w:w="1701" w:type="dxa"/>
            <w:vAlign w:val="center"/>
          </w:tcPr>
          <w:p w14:paraId="46BFC249">
            <w:pPr>
              <w:spacing w:line="286" w:lineRule="exact"/>
              <w:jc w:val="center"/>
              <w:rPr>
                <w:rFonts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下陆区排水防涝系统提升工程</w:t>
            </w:r>
          </w:p>
        </w:tc>
        <w:tc>
          <w:tcPr>
            <w:tcW w:w="1191" w:type="dxa"/>
            <w:vAlign w:val="center"/>
          </w:tcPr>
          <w:p w14:paraId="393755F5">
            <w:pPr>
              <w:spacing w:line="286" w:lineRule="exact"/>
              <w:jc w:val="center"/>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lang w:val="en-US" w:eastAsia="zh-CN"/>
              </w:rPr>
              <w:t>下陆区</w:t>
            </w:r>
          </w:p>
        </w:tc>
        <w:tc>
          <w:tcPr>
            <w:tcW w:w="6287" w:type="dxa"/>
            <w:vAlign w:val="center"/>
          </w:tcPr>
          <w:p w14:paraId="5BF56198">
            <w:pPr>
              <w:spacing w:line="286" w:lineRule="exact"/>
              <w:jc w:val="left"/>
              <w:rPr>
                <w:rFonts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主要建设内容</w:t>
            </w:r>
            <w:r>
              <w:rPr>
                <w:rFonts w:hint="eastAsia" w:ascii="仿宋_GB2312" w:hAnsi="仿宋_GB2312" w:eastAsia="仿宋_GB2312" w:cs="仿宋_GB2312"/>
                <w:sz w:val="24"/>
                <w:szCs w:val="24"/>
                <w:highlight w:val="none"/>
                <w:lang w:val="en-US" w:eastAsia="zh-CN"/>
              </w:rPr>
              <w:t>包括</w:t>
            </w:r>
            <w:r>
              <w:rPr>
                <w:rFonts w:hint="eastAsia" w:ascii="仿宋_GB2312" w:hAnsi="仿宋_GB2312" w:eastAsia="仿宋_GB2312" w:cs="仿宋_GB2312"/>
                <w:sz w:val="24"/>
                <w:szCs w:val="24"/>
                <w:highlight w:val="none"/>
              </w:rPr>
              <w:t>对辖区内全长12.3公里的主排洪港（东港、西港、彭家堑港、蔡家垄港）进行提升改造；将上游及支流全长43.2公里的排洪通道进行提升改造；对1451处连通渠或港内混错接点进行分流改造。</w:t>
            </w:r>
          </w:p>
        </w:tc>
        <w:tc>
          <w:tcPr>
            <w:tcW w:w="1410" w:type="dxa"/>
            <w:vAlign w:val="center"/>
          </w:tcPr>
          <w:p w14:paraId="3AF7779E">
            <w:pPr>
              <w:spacing w:line="286" w:lineRule="exact"/>
              <w:jc w:val="center"/>
              <w:rPr>
                <w:rFonts w:hint="eastAsia" w:ascii="仿宋_GB2312" w:hAnsi="仿宋_GB2312" w:eastAsia="仿宋_GB2312" w:cs="仿宋_GB2312"/>
                <w:sz w:val="24"/>
                <w:szCs w:val="24"/>
                <w:highlight w:val="none"/>
                <w:lang w:val="en-US" w:eastAsia="zh-CN"/>
              </w:rPr>
            </w:pPr>
            <w:r>
              <w:rPr>
                <w:rFonts w:hint="eastAsia" w:ascii="仿宋_GB2312" w:hAnsi="仿宋_GB2312" w:eastAsia="仿宋_GB2312" w:cs="仿宋_GB2312"/>
                <w:sz w:val="24"/>
                <w:szCs w:val="24"/>
                <w:highlight w:val="none"/>
                <w:lang w:val="en-US" w:eastAsia="zh-CN"/>
              </w:rPr>
              <w:t>市城管委</w:t>
            </w:r>
          </w:p>
        </w:tc>
        <w:tc>
          <w:tcPr>
            <w:tcW w:w="1204" w:type="dxa"/>
            <w:vAlign w:val="center"/>
          </w:tcPr>
          <w:p w14:paraId="07FF71F8">
            <w:pPr>
              <w:spacing w:line="286" w:lineRule="exact"/>
              <w:jc w:val="center"/>
              <w:rPr>
                <w:rFonts w:hint="default" w:ascii="仿宋_GB2312" w:hAnsi="仿宋_GB2312" w:eastAsia="仿宋_GB2312" w:cs="仿宋_GB2312"/>
                <w:sz w:val="24"/>
                <w:szCs w:val="24"/>
                <w:highlight w:val="none"/>
                <w:lang w:val="en-US" w:eastAsia="zh-CN"/>
              </w:rPr>
            </w:pPr>
            <w:r>
              <w:rPr>
                <w:rFonts w:hint="eastAsia" w:ascii="仿宋_GB2312" w:hAnsi="仿宋_GB2312" w:eastAsia="仿宋_GB2312" w:cs="仿宋_GB2312"/>
                <w:sz w:val="24"/>
                <w:szCs w:val="24"/>
                <w:highlight w:val="none"/>
                <w:lang w:val="en-US" w:eastAsia="zh-CN"/>
              </w:rPr>
              <w:t>2024</w:t>
            </w:r>
          </w:p>
        </w:tc>
        <w:tc>
          <w:tcPr>
            <w:tcW w:w="1417" w:type="dxa"/>
            <w:vAlign w:val="center"/>
          </w:tcPr>
          <w:p w14:paraId="2078608D">
            <w:pPr>
              <w:spacing w:line="286" w:lineRule="exact"/>
              <w:jc w:val="center"/>
              <w:rPr>
                <w:rFonts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lang w:val="en-US" w:eastAsia="zh-CN"/>
              </w:rPr>
              <w:t>52400</w:t>
            </w:r>
          </w:p>
        </w:tc>
      </w:tr>
      <w:tr w14:paraId="1254B7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10" w:type="dxa"/>
            <w:tcBorders>
              <w:top w:val="single" w:color="auto" w:sz="4" w:space="0"/>
              <w:left w:val="single" w:color="auto" w:sz="4" w:space="0"/>
              <w:bottom w:val="single" w:color="auto" w:sz="4" w:space="0"/>
              <w:right w:val="single" w:color="auto" w:sz="4" w:space="0"/>
            </w:tcBorders>
            <w:vAlign w:val="center"/>
          </w:tcPr>
          <w:p w14:paraId="5AB3CCD8">
            <w:pPr>
              <w:spacing w:line="280" w:lineRule="exact"/>
              <w:jc w:val="center"/>
              <w:rPr>
                <w:rFonts w:ascii="仿宋_GB2312" w:hAnsi="仿宋_GB2312" w:eastAsia="仿宋_GB2312" w:cs="仿宋_GB2312"/>
                <w:kern w:val="2"/>
                <w:sz w:val="24"/>
                <w:szCs w:val="24"/>
                <w:highlight w:val="none"/>
                <w:lang w:val="en-US" w:eastAsia="zh-CN" w:bidi="ar-SA"/>
              </w:rPr>
            </w:pPr>
            <w:r>
              <w:rPr>
                <w:rFonts w:hint="eastAsia" w:ascii="仿宋_GB2312" w:hAnsi="仿宋_GB2312" w:eastAsia="仿宋_GB2312" w:cs="仿宋_GB2312"/>
                <w:sz w:val="24"/>
                <w:szCs w:val="24"/>
                <w:highlight w:val="none"/>
              </w:rPr>
              <w:t>智慧高效</w:t>
            </w:r>
          </w:p>
        </w:tc>
        <w:tc>
          <w:tcPr>
            <w:tcW w:w="454" w:type="dxa"/>
            <w:tcBorders>
              <w:left w:val="single" w:color="auto" w:sz="4" w:space="0"/>
            </w:tcBorders>
            <w:vAlign w:val="center"/>
          </w:tcPr>
          <w:p w14:paraId="5C297D83">
            <w:pPr>
              <w:numPr>
                <w:ilvl w:val="0"/>
                <w:numId w:val="6"/>
              </w:numPr>
              <w:spacing w:line="286" w:lineRule="exact"/>
              <w:ind w:left="425" w:leftChars="0" w:hanging="425" w:firstLineChars="0"/>
              <w:jc w:val="center"/>
              <w:rPr>
                <w:rFonts w:hint="eastAsia" w:ascii="仿宋_GB2312" w:hAnsi="仿宋_GB2312" w:eastAsia="仿宋_GB2312" w:cs="仿宋_GB2312"/>
                <w:sz w:val="24"/>
                <w:szCs w:val="24"/>
                <w:highlight w:val="none"/>
              </w:rPr>
            </w:pPr>
          </w:p>
        </w:tc>
        <w:tc>
          <w:tcPr>
            <w:tcW w:w="1701" w:type="dxa"/>
            <w:vAlign w:val="center"/>
          </w:tcPr>
          <w:p w14:paraId="25B0BBD0">
            <w:pPr>
              <w:spacing w:line="286" w:lineRule="exact"/>
              <w:jc w:val="center"/>
              <w:rPr>
                <w:rFonts w:hint="eastAsia" w:ascii="仿宋_GB2312" w:hAnsi="仿宋_GB2312" w:eastAsia="仿宋_GB2312" w:cs="仿宋_GB2312"/>
                <w:sz w:val="24"/>
                <w:szCs w:val="24"/>
                <w:highlight w:val="none"/>
                <w:lang w:eastAsia="zh-CN"/>
              </w:rPr>
            </w:pPr>
            <w:r>
              <w:rPr>
                <w:rFonts w:hint="eastAsia" w:ascii="仿宋_GB2312" w:hAnsi="仿宋_GB2312" w:eastAsia="仿宋_GB2312" w:cs="仿宋_GB2312"/>
                <w:sz w:val="24"/>
                <w:szCs w:val="24"/>
                <w:highlight w:val="none"/>
                <w:lang w:eastAsia="zh-CN"/>
              </w:rPr>
              <w:t>鄂东城市综合智能体项目</w:t>
            </w:r>
          </w:p>
        </w:tc>
        <w:tc>
          <w:tcPr>
            <w:tcW w:w="1191" w:type="dxa"/>
            <w:vAlign w:val="center"/>
          </w:tcPr>
          <w:p w14:paraId="429C4599">
            <w:pPr>
              <w:spacing w:line="286" w:lineRule="exact"/>
              <w:jc w:val="center"/>
              <w:rPr>
                <w:rFonts w:hint="default" w:ascii="仿宋_GB2312" w:hAnsi="仿宋_GB2312" w:eastAsia="仿宋_GB2312" w:cs="仿宋_GB2312"/>
                <w:sz w:val="24"/>
                <w:szCs w:val="24"/>
                <w:highlight w:val="none"/>
                <w:lang w:val="en-US" w:eastAsia="zh-CN"/>
              </w:rPr>
            </w:pPr>
            <w:r>
              <w:rPr>
                <w:rFonts w:hint="eastAsia" w:ascii="仿宋_GB2312" w:hAnsi="仿宋_GB2312" w:eastAsia="仿宋_GB2312" w:cs="仿宋_GB2312"/>
                <w:sz w:val="24"/>
                <w:szCs w:val="24"/>
                <w:highlight w:val="none"/>
                <w:lang w:val="en-US" w:eastAsia="zh-CN"/>
              </w:rPr>
              <w:t>黄石市</w:t>
            </w:r>
          </w:p>
        </w:tc>
        <w:tc>
          <w:tcPr>
            <w:tcW w:w="6287" w:type="dxa"/>
            <w:vAlign w:val="center"/>
          </w:tcPr>
          <w:p w14:paraId="440E6089">
            <w:pPr>
              <w:spacing w:line="286" w:lineRule="exact"/>
              <w:jc w:val="left"/>
              <w:rPr>
                <w:rFonts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建设城市数字底座、大模型底座和智能体底座，打造一体化资源体系高质量数据集、可信数据空间、数据授权运营平台等数据中枢和能力中枢，构建政务、企业、民生智能体，打造覆盖政务、经济、民生等领域智慧应用场景，建设全流程应用的城市级智能体助理，推动AI城市建设。</w:t>
            </w:r>
          </w:p>
        </w:tc>
        <w:tc>
          <w:tcPr>
            <w:tcW w:w="1410" w:type="dxa"/>
            <w:vAlign w:val="center"/>
          </w:tcPr>
          <w:p w14:paraId="08164806">
            <w:pPr>
              <w:spacing w:line="286" w:lineRule="exact"/>
              <w:jc w:val="center"/>
              <w:rPr>
                <w:rFonts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市数据局</w:t>
            </w:r>
          </w:p>
        </w:tc>
        <w:tc>
          <w:tcPr>
            <w:tcW w:w="1204" w:type="dxa"/>
            <w:vAlign w:val="center"/>
          </w:tcPr>
          <w:p w14:paraId="1F074AFB">
            <w:pPr>
              <w:spacing w:line="286" w:lineRule="exact"/>
              <w:jc w:val="center"/>
              <w:rPr>
                <w:rFonts w:hint="default" w:ascii="仿宋_GB2312" w:hAnsi="仿宋_GB2312" w:eastAsia="仿宋_GB2312" w:cs="仿宋_GB2312"/>
                <w:sz w:val="24"/>
                <w:szCs w:val="24"/>
                <w:highlight w:val="none"/>
                <w:lang w:val="en-US"/>
              </w:rPr>
            </w:pPr>
            <w:r>
              <w:rPr>
                <w:rFonts w:hint="eastAsia" w:ascii="仿宋_GB2312" w:hAnsi="仿宋_GB2312" w:eastAsia="仿宋_GB2312" w:cs="仿宋_GB2312"/>
                <w:sz w:val="24"/>
                <w:szCs w:val="24"/>
                <w:highlight w:val="none"/>
                <w:lang w:val="en-US" w:eastAsia="zh-CN"/>
              </w:rPr>
              <w:t>2026</w:t>
            </w:r>
          </w:p>
        </w:tc>
        <w:tc>
          <w:tcPr>
            <w:tcW w:w="1417" w:type="dxa"/>
            <w:vAlign w:val="center"/>
          </w:tcPr>
          <w:p w14:paraId="3046F7AD">
            <w:pPr>
              <w:spacing w:line="286" w:lineRule="exact"/>
              <w:jc w:val="center"/>
              <w:rPr>
                <w:rFonts w:hint="default" w:ascii="仿宋_GB2312" w:hAnsi="仿宋_GB2312" w:eastAsia="仿宋_GB2312" w:cs="仿宋_GB2312"/>
                <w:sz w:val="24"/>
                <w:szCs w:val="24"/>
                <w:highlight w:val="none"/>
                <w:lang w:val="en-US" w:eastAsia="zh-CN"/>
              </w:rPr>
            </w:pPr>
            <w:r>
              <w:rPr>
                <w:rFonts w:hint="eastAsia" w:ascii="仿宋_GB2312" w:hAnsi="仿宋_GB2312" w:eastAsia="仿宋_GB2312" w:cs="仿宋_GB2312"/>
                <w:sz w:val="24"/>
                <w:szCs w:val="24"/>
                <w:highlight w:val="none"/>
                <w:lang w:val="en-US" w:eastAsia="zh-CN"/>
              </w:rPr>
              <w:t>100000</w:t>
            </w:r>
          </w:p>
        </w:tc>
      </w:tr>
    </w:tbl>
    <w:p w14:paraId="53F0132A">
      <w:pPr>
        <w:rPr>
          <w:rFonts w:hint="eastAsia" w:ascii="Times New Roman" w:hAnsi="Times New Roman" w:eastAsia="黑体" w:cs="黑体"/>
          <w:b w:val="0"/>
          <w:bCs w:val="0"/>
          <w:sz w:val="32"/>
          <w:szCs w:val="32"/>
          <w:highlight w:val="none"/>
          <w:lang w:val="en-US" w:eastAsia="zh-CN"/>
        </w:rPr>
      </w:pPr>
      <w:r>
        <w:rPr>
          <w:rFonts w:hint="eastAsia" w:ascii="Times New Roman" w:hAnsi="Times New Roman" w:eastAsia="黑体" w:cs="黑体"/>
          <w:b w:val="0"/>
          <w:bCs w:val="0"/>
          <w:sz w:val="32"/>
          <w:szCs w:val="32"/>
          <w:highlight w:val="none"/>
        </w:rPr>
        <w:br w:type="page"/>
      </w:r>
      <w:r>
        <w:rPr>
          <w:rFonts w:hint="eastAsia" w:ascii="Times New Roman" w:hAnsi="Times New Roman" w:eastAsia="黑体" w:cs="黑体"/>
          <w:b w:val="0"/>
          <w:bCs w:val="0"/>
          <w:sz w:val="32"/>
          <w:szCs w:val="32"/>
          <w:highlight w:val="none"/>
        </w:rPr>
        <w:t>附</w:t>
      </w:r>
      <w:r>
        <w:rPr>
          <w:rFonts w:hint="eastAsia" w:ascii="Times New Roman" w:hAnsi="Times New Roman" w:eastAsia="黑体" w:cs="黑体"/>
          <w:b w:val="0"/>
          <w:bCs w:val="0"/>
          <w:sz w:val="32"/>
          <w:szCs w:val="32"/>
          <w:highlight w:val="none"/>
          <w:lang w:val="en-US" w:eastAsia="zh-CN"/>
        </w:rPr>
        <w:t>6</w:t>
      </w:r>
    </w:p>
    <w:p w14:paraId="28E9D74C">
      <w:pPr>
        <w:jc w:val="center"/>
        <w:rPr>
          <w:rFonts w:hint="eastAsia" w:ascii="方正小标宋简体" w:hAnsi="方正小标宋简体" w:eastAsia="方正小标宋简体" w:cs="方正小标宋简体"/>
          <w:sz w:val="40"/>
          <w:szCs w:val="40"/>
          <w:highlight w:val="none"/>
          <w:lang w:val="en-US" w:eastAsia="zh-CN"/>
        </w:rPr>
      </w:pPr>
      <w:r>
        <w:rPr>
          <w:rFonts w:hint="eastAsia" w:ascii="方正小标宋简体" w:hAnsi="方正小标宋简体" w:eastAsia="方正小标宋简体" w:cs="方正小标宋简体"/>
          <w:sz w:val="40"/>
          <w:szCs w:val="40"/>
          <w:highlight w:val="none"/>
          <w:lang w:val="en-US" w:eastAsia="zh-CN"/>
        </w:rPr>
        <w:t>黄石市美丽城市建设标志性成果清单（持续更新）</w:t>
      </w:r>
    </w:p>
    <w:tbl>
      <w:tblPr>
        <w:tblStyle w:val="13"/>
        <w:tblW w:w="1423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8"/>
        <w:gridCol w:w="3378"/>
        <w:gridCol w:w="8133"/>
        <w:gridCol w:w="1812"/>
      </w:tblGrid>
      <w:tr w14:paraId="4C9FFE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7" w:hRule="atLeast"/>
          <w:tblHeader/>
          <w:jc w:val="center"/>
        </w:trPr>
        <w:tc>
          <w:tcPr>
            <w:tcW w:w="908" w:type="dxa"/>
            <w:vAlign w:val="center"/>
          </w:tcPr>
          <w:p w14:paraId="04F41D6C">
            <w:pPr>
              <w:spacing w:line="300" w:lineRule="exact"/>
              <w:jc w:val="center"/>
              <w:rPr>
                <w:rFonts w:hint="eastAsia" w:ascii="仿宋_GB2312" w:hAnsi="仿宋_GB2312" w:eastAsia="仿宋_GB2312" w:cs="仿宋_GB2312"/>
                <w:b/>
                <w:bCs/>
                <w:sz w:val="24"/>
                <w:szCs w:val="24"/>
                <w:highlight w:val="none"/>
              </w:rPr>
            </w:pPr>
            <w:r>
              <w:rPr>
                <w:rFonts w:hint="eastAsia" w:ascii="仿宋_GB2312" w:hAnsi="仿宋_GB2312" w:eastAsia="仿宋_GB2312" w:cs="仿宋_GB2312"/>
                <w:b/>
                <w:bCs/>
                <w:sz w:val="24"/>
                <w:szCs w:val="24"/>
                <w:highlight w:val="none"/>
              </w:rPr>
              <w:t>序号</w:t>
            </w:r>
          </w:p>
        </w:tc>
        <w:tc>
          <w:tcPr>
            <w:tcW w:w="3378" w:type="dxa"/>
            <w:vAlign w:val="center"/>
          </w:tcPr>
          <w:p w14:paraId="0172FE2B">
            <w:pPr>
              <w:spacing w:line="300" w:lineRule="exact"/>
              <w:jc w:val="center"/>
              <w:rPr>
                <w:rFonts w:hint="eastAsia" w:ascii="仿宋_GB2312" w:hAnsi="仿宋_GB2312" w:eastAsia="仿宋_GB2312" w:cs="仿宋_GB2312"/>
                <w:b/>
                <w:bCs/>
                <w:sz w:val="24"/>
                <w:szCs w:val="24"/>
                <w:highlight w:val="none"/>
              </w:rPr>
            </w:pPr>
            <w:r>
              <w:rPr>
                <w:rFonts w:hint="eastAsia" w:ascii="仿宋_GB2312" w:hAnsi="仿宋_GB2312" w:eastAsia="仿宋_GB2312" w:cs="仿宋_GB2312"/>
                <w:b/>
                <w:bCs/>
                <w:sz w:val="24"/>
                <w:szCs w:val="24"/>
                <w:highlight w:val="none"/>
              </w:rPr>
              <w:t>标志性成果名称</w:t>
            </w:r>
          </w:p>
        </w:tc>
        <w:tc>
          <w:tcPr>
            <w:tcW w:w="8133" w:type="dxa"/>
            <w:vAlign w:val="center"/>
          </w:tcPr>
          <w:p w14:paraId="1D6B514F">
            <w:pPr>
              <w:spacing w:line="300" w:lineRule="exact"/>
              <w:jc w:val="center"/>
              <w:rPr>
                <w:rFonts w:hint="eastAsia" w:ascii="仿宋_GB2312" w:hAnsi="仿宋_GB2312" w:eastAsia="仿宋_GB2312" w:cs="仿宋_GB2312"/>
                <w:b/>
                <w:bCs/>
                <w:sz w:val="24"/>
                <w:szCs w:val="24"/>
                <w:highlight w:val="none"/>
              </w:rPr>
            </w:pPr>
            <w:r>
              <w:rPr>
                <w:rFonts w:hint="eastAsia" w:ascii="仿宋_GB2312" w:hAnsi="仿宋_GB2312" w:eastAsia="仿宋_GB2312" w:cs="仿宋_GB2312"/>
                <w:b/>
                <w:bCs/>
                <w:sz w:val="24"/>
                <w:szCs w:val="24"/>
                <w:highlight w:val="none"/>
              </w:rPr>
              <w:t>主要目标</w:t>
            </w:r>
          </w:p>
        </w:tc>
        <w:tc>
          <w:tcPr>
            <w:tcW w:w="1812" w:type="dxa"/>
            <w:vAlign w:val="center"/>
          </w:tcPr>
          <w:p w14:paraId="5A648ED1">
            <w:pPr>
              <w:spacing w:line="300" w:lineRule="exact"/>
              <w:jc w:val="center"/>
              <w:rPr>
                <w:rFonts w:hint="eastAsia" w:ascii="仿宋_GB2312" w:hAnsi="仿宋_GB2312" w:eastAsia="仿宋_GB2312" w:cs="仿宋_GB2312"/>
                <w:b/>
                <w:bCs/>
                <w:sz w:val="24"/>
                <w:szCs w:val="24"/>
                <w:highlight w:val="none"/>
              </w:rPr>
            </w:pPr>
            <w:r>
              <w:rPr>
                <w:rFonts w:hint="eastAsia" w:ascii="仿宋_GB2312" w:hAnsi="仿宋_GB2312" w:eastAsia="仿宋_GB2312" w:cs="仿宋_GB2312"/>
                <w:b/>
                <w:bCs/>
                <w:sz w:val="24"/>
                <w:szCs w:val="24"/>
                <w:highlight w:val="none"/>
              </w:rPr>
              <w:t>牵头单位</w:t>
            </w:r>
          </w:p>
        </w:tc>
      </w:tr>
      <w:tr w14:paraId="5B6B59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3" w:hRule="atLeast"/>
          <w:jc w:val="center"/>
        </w:trPr>
        <w:tc>
          <w:tcPr>
            <w:tcW w:w="908" w:type="dxa"/>
            <w:vAlign w:val="center"/>
          </w:tcPr>
          <w:p w14:paraId="20F11F51">
            <w:pPr>
              <w:spacing w:line="360" w:lineRule="exact"/>
              <w:jc w:val="center"/>
              <w:rPr>
                <w:rFonts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1</w:t>
            </w:r>
          </w:p>
        </w:tc>
        <w:tc>
          <w:tcPr>
            <w:tcW w:w="3378" w:type="dxa"/>
            <w:vAlign w:val="center"/>
          </w:tcPr>
          <w:p w14:paraId="6572C3B2">
            <w:pPr>
              <w:spacing w:line="360" w:lineRule="exact"/>
              <w:jc w:val="center"/>
              <w:rPr>
                <w:rFonts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打造全国资源型城市</w:t>
            </w:r>
            <w:r>
              <w:rPr>
                <w:rFonts w:hint="eastAsia" w:ascii="仿宋_GB2312" w:hAnsi="仿宋_GB2312" w:eastAsia="仿宋_GB2312" w:cs="仿宋_GB2312"/>
                <w:sz w:val="24"/>
                <w:szCs w:val="24"/>
                <w:highlight w:val="none"/>
                <w:lang w:val="en-US" w:eastAsia="zh-CN"/>
              </w:rPr>
              <w:t>绿色低碳高质量发展</w:t>
            </w:r>
            <w:r>
              <w:rPr>
                <w:rFonts w:hint="eastAsia" w:ascii="仿宋_GB2312" w:hAnsi="仿宋_GB2312" w:eastAsia="仿宋_GB2312" w:cs="仿宋_GB2312"/>
                <w:sz w:val="24"/>
                <w:szCs w:val="24"/>
                <w:highlight w:val="none"/>
              </w:rPr>
              <w:t>示范市</w:t>
            </w:r>
          </w:p>
        </w:tc>
        <w:tc>
          <w:tcPr>
            <w:tcW w:w="8133" w:type="dxa"/>
            <w:vAlign w:val="center"/>
          </w:tcPr>
          <w:p w14:paraId="29D685B9">
            <w:pPr>
              <w:spacing w:line="360" w:lineRule="exact"/>
              <w:jc w:val="left"/>
              <w:rPr>
                <w:rFonts w:hint="default" w:ascii="仿宋_GB2312" w:hAnsi="仿宋_GB2312" w:eastAsia="仿宋_GB2312" w:cs="仿宋_GB2312"/>
                <w:sz w:val="24"/>
                <w:szCs w:val="24"/>
                <w:highlight w:val="none"/>
                <w:lang w:val="en-US" w:eastAsia="zh-CN"/>
              </w:rPr>
            </w:pPr>
            <w:r>
              <w:rPr>
                <w:rFonts w:hint="eastAsia" w:ascii="仿宋_GB2312" w:hAnsi="仿宋_GB2312" w:eastAsia="仿宋_GB2312" w:cs="仿宋_GB2312"/>
                <w:sz w:val="24"/>
                <w:szCs w:val="24"/>
                <w:highlight w:val="none"/>
              </w:rPr>
              <w:t>持续巩固钢铁、水泥等重点行业超低排放改造成效，深入实施技改提能行动和大规模设备更新工程</w:t>
            </w:r>
            <w:r>
              <w:rPr>
                <w:rFonts w:hint="eastAsia" w:ascii="仿宋_GB2312" w:hAnsi="仿宋_GB2312" w:eastAsia="仿宋_GB2312" w:cs="仿宋_GB2312"/>
                <w:sz w:val="24"/>
                <w:szCs w:val="24"/>
                <w:highlight w:val="none"/>
                <w:lang w:eastAsia="zh-CN"/>
              </w:rPr>
              <w:t>。</w:t>
            </w:r>
            <w:r>
              <w:rPr>
                <w:rFonts w:hint="eastAsia" w:ascii="仿宋_GB2312" w:hAnsi="仿宋_GB2312" w:eastAsia="仿宋_GB2312" w:cs="仿宋_GB2312"/>
                <w:sz w:val="24"/>
                <w:szCs w:val="24"/>
                <w:highlight w:val="none"/>
                <w:lang w:val="en-US" w:eastAsia="zh-CN"/>
              </w:rPr>
              <w:t>到2030年，建设</w:t>
            </w:r>
            <w:r>
              <w:rPr>
                <w:rFonts w:hint="eastAsia" w:ascii="仿宋_GB2312" w:hAnsi="仿宋_GB2312" w:eastAsia="仿宋_GB2312" w:cs="仿宋_GB2312"/>
                <w:sz w:val="24"/>
                <w:szCs w:val="24"/>
                <w:highlight w:val="none"/>
              </w:rPr>
              <w:t>国家级绿色工厂</w:t>
            </w:r>
            <w:r>
              <w:rPr>
                <w:rFonts w:hint="eastAsia" w:ascii="仿宋_GB2312" w:hAnsi="仿宋_GB2312" w:eastAsia="仿宋_GB2312" w:cs="仿宋_GB2312"/>
                <w:sz w:val="24"/>
                <w:szCs w:val="24"/>
                <w:highlight w:val="none"/>
                <w:lang w:val="en-US" w:eastAsia="zh-CN"/>
              </w:rPr>
              <w:t>55家，稳步推进“百企技改”工程，持续推行固废利用“厂内+厂外”双循环模式。</w:t>
            </w:r>
          </w:p>
        </w:tc>
        <w:tc>
          <w:tcPr>
            <w:tcW w:w="1812" w:type="dxa"/>
            <w:vAlign w:val="center"/>
          </w:tcPr>
          <w:p w14:paraId="7EC1CE04">
            <w:pPr>
              <w:spacing w:line="360" w:lineRule="exact"/>
              <w:jc w:val="center"/>
              <w:rPr>
                <w:rFonts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市</w:t>
            </w:r>
            <w:r>
              <w:rPr>
                <w:rFonts w:hint="eastAsia" w:ascii="仿宋_GB2312" w:hAnsi="仿宋_GB2312" w:eastAsia="仿宋_GB2312" w:cs="仿宋_GB2312"/>
                <w:sz w:val="24"/>
                <w:szCs w:val="24"/>
                <w:highlight w:val="none"/>
                <w:lang w:val="en-US" w:eastAsia="zh-CN"/>
              </w:rPr>
              <w:t>生态环境局</w:t>
            </w:r>
            <w:r>
              <w:rPr>
                <w:rFonts w:hint="eastAsia" w:ascii="仿宋_GB2312" w:hAnsi="仿宋_GB2312" w:eastAsia="仿宋_GB2312" w:cs="仿宋_GB2312"/>
                <w:sz w:val="24"/>
                <w:szCs w:val="24"/>
                <w:highlight w:val="none"/>
              </w:rPr>
              <w:t>、市经信局</w:t>
            </w:r>
          </w:p>
        </w:tc>
      </w:tr>
      <w:tr w14:paraId="5A2CBC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3" w:hRule="atLeast"/>
          <w:jc w:val="center"/>
        </w:trPr>
        <w:tc>
          <w:tcPr>
            <w:tcW w:w="908" w:type="dxa"/>
            <w:vAlign w:val="center"/>
          </w:tcPr>
          <w:p w14:paraId="23EFFAE5">
            <w:pPr>
              <w:spacing w:line="360" w:lineRule="exact"/>
              <w:jc w:val="center"/>
              <w:rPr>
                <w:rFonts w:hint="eastAsia" w:ascii="仿宋_GB2312" w:hAnsi="仿宋_GB2312" w:eastAsia="仿宋_GB2312" w:cs="仿宋_GB2312"/>
                <w:kern w:val="2"/>
                <w:sz w:val="24"/>
                <w:szCs w:val="24"/>
                <w:highlight w:val="none"/>
                <w:lang w:val="en-US" w:eastAsia="zh-CN" w:bidi="ar-SA"/>
              </w:rPr>
            </w:pPr>
            <w:r>
              <w:rPr>
                <w:rFonts w:hint="eastAsia" w:ascii="仿宋_GB2312" w:hAnsi="仿宋_GB2312" w:eastAsia="仿宋_GB2312" w:cs="仿宋_GB2312"/>
                <w:sz w:val="24"/>
                <w:szCs w:val="24"/>
                <w:highlight w:val="none"/>
              </w:rPr>
              <w:t>2</w:t>
            </w:r>
          </w:p>
        </w:tc>
        <w:tc>
          <w:tcPr>
            <w:tcW w:w="3378" w:type="dxa"/>
            <w:vAlign w:val="center"/>
          </w:tcPr>
          <w:p w14:paraId="4CF42BD6">
            <w:pPr>
              <w:spacing w:line="360" w:lineRule="exact"/>
              <w:jc w:val="center"/>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减污降碳试点园区/零碳园区</w:t>
            </w:r>
          </w:p>
        </w:tc>
        <w:tc>
          <w:tcPr>
            <w:tcW w:w="8133" w:type="dxa"/>
            <w:vAlign w:val="center"/>
          </w:tcPr>
          <w:p w14:paraId="5E5E50ED">
            <w:pPr>
              <w:spacing w:line="360" w:lineRule="exact"/>
              <w:jc w:val="left"/>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支持黄金山深化国家低碳工业园区试点，重点推进电子信息、智能制造产业绿色发展，建设国家级电子信息产业基地，培育和引进一批掌握低碳核心技术、具有先进低碳管理水平的企业，打造改革创新前沿和节能降碳样板。</w:t>
            </w:r>
            <w:r>
              <w:rPr>
                <w:rFonts w:hint="eastAsia" w:ascii="仿宋_GB2312" w:hAnsi="仿宋_GB2312" w:eastAsia="仿宋_GB2312" w:cs="仿宋_GB2312"/>
                <w:sz w:val="24"/>
                <w:szCs w:val="24"/>
                <w:highlight w:val="none"/>
                <w:lang w:val="en-US" w:eastAsia="zh-CN"/>
              </w:rPr>
              <w:t>支持</w:t>
            </w:r>
            <w:r>
              <w:rPr>
                <w:rFonts w:hint="eastAsia" w:ascii="仿宋_GB2312" w:hAnsi="仿宋_GB2312" w:eastAsia="仿宋_GB2312" w:cs="仿宋_GB2312"/>
                <w:sz w:val="24"/>
                <w:szCs w:val="24"/>
                <w:highlight w:val="none"/>
              </w:rPr>
              <w:t>黄石大冶湖国家高新区、黄石新港</w:t>
            </w:r>
            <w:r>
              <w:rPr>
                <w:rFonts w:hint="eastAsia" w:ascii="仿宋_GB2312" w:hAnsi="仿宋_GB2312" w:eastAsia="仿宋_GB2312" w:cs="仿宋_GB2312"/>
                <w:sz w:val="24"/>
                <w:szCs w:val="24"/>
                <w:highlight w:val="none"/>
                <w:lang w:eastAsia="zh-CN"/>
              </w:rPr>
              <w:t>（</w:t>
            </w:r>
            <w:r>
              <w:rPr>
                <w:rFonts w:hint="eastAsia" w:ascii="仿宋_GB2312" w:hAnsi="仿宋_GB2312" w:eastAsia="仿宋_GB2312" w:cs="仿宋_GB2312"/>
                <w:sz w:val="24"/>
                <w:szCs w:val="24"/>
                <w:highlight w:val="none"/>
              </w:rPr>
              <w:t>物流</w:t>
            </w:r>
            <w:r>
              <w:rPr>
                <w:rFonts w:hint="eastAsia" w:ascii="仿宋_GB2312" w:hAnsi="仿宋_GB2312" w:eastAsia="仿宋_GB2312" w:cs="仿宋_GB2312"/>
                <w:sz w:val="24"/>
                <w:szCs w:val="24"/>
                <w:highlight w:val="none"/>
                <w:lang w:eastAsia="zh-CN"/>
              </w:rPr>
              <w:t>）</w:t>
            </w:r>
            <w:r>
              <w:rPr>
                <w:rFonts w:hint="eastAsia" w:ascii="仿宋_GB2312" w:hAnsi="仿宋_GB2312" w:eastAsia="仿宋_GB2312" w:cs="仿宋_GB2312"/>
                <w:sz w:val="24"/>
                <w:szCs w:val="24"/>
                <w:highlight w:val="none"/>
              </w:rPr>
              <w:t>工业园区、黄石临空经济区</w:t>
            </w:r>
            <w:r>
              <w:rPr>
                <w:rFonts w:hint="eastAsia" w:ascii="仿宋_GB2312" w:hAnsi="仿宋_GB2312" w:eastAsia="仿宋_GB2312" w:cs="仿宋_GB2312"/>
                <w:sz w:val="24"/>
                <w:szCs w:val="24"/>
                <w:highlight w:val="none"/>
                <w:lang w:val="en-US" w:eastAsia="zh-CN"/>
              </w:rPr>
              <w:t>建设</w:t>
            </w:r>
            <w:r>
              <w:rPr>
                <w:rFonts w:hint="eastAsia" w:ascii="仿宋_GB2312" w:hAnsi="仿宋_GB2312" w:eastAsia="仿宋_GB2312" w:cs="仿宋_GB2312"/>
                <w:sz w:val="24"/>
                <w:szCs w:val="24"/>
                <w:highlight w:val="none"/>
              </w:rPr>
              <w:t>低碳工业园区，形成引领产业转型升级、低碳物流的样板。</w:t>
            </w:r>
          </w:p>
        </w:tc>
        <w:tc>
          <w:tcPr>
            <w:tcW w:w="1812" w:type="dxa"/>
            <w:vAlign w:val="center"/>
          </w:tcPr>
          <w:p w14:paraId="7FAF9496">
            <w:pPr>
              <w:spacing w:line="360" w:lineRule="exact"/>
              <w:jc w:val="center"/>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市</w:t>
            </w:r>
            <w:r>
              <w:rPr>
                <w:rFonts w:hint="eastAsia" w:ascii="仿宋_GB2312" w:hAnsi="仿宋_GB2312" w:eastAsia="仿宋_GB2312" w:cs="仿宋_GB2312"/>
                <w:sz w:val="24"/>
                <w:szCs w:val="24"/>
                <w:highlight w:val="none"/>
                <w:lang w:val="en-US" w:eastAsia="zh-CN"/>
              </w:rPr>
              <w:t>生态环境局</w:t>
            </w:r>
          </w:p>
        </w:tc>
      </w:tr>
      <w:tr w14:paraId="0D752A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3" w:hRule="atLeast"/>
          <w:jc w:val="center"/>
        </w:trPr>
        <w:tc>
          <w:tcPr>
            <w:tcW w:w="908" w:type="dxa"/>
            <w:vAlign w:val="center"/>
          </w:tcPr>
          <w:p w14:paraId="167704EE">
            <w:pPr>
              <w:spacing w:line="360" w:lineRule="exact"/>
              <w:jc w:val="center"/>
              <w:rPr>
                <w:rFonts w:ascii="仿宋_GB2312" w:hAnsi="仿宋_GB2312" w:eastAsia="仿宋_GB2312" w:cs="仿宋_GB2312"/>
                <w:kern w:val="2"/>
                <w:sz w:val="24"/>
                <w:szCs w:val="24"/>
                <w:highlight w:val="none"/>
                <w:lang w:val="en-US" w:eastAsia="zh-CN" w:bidi="ar-SA"/>
              </w:rPr>
            </w:pPr>
            <w:r>
              <w:rPr>
                <w:rFonts w:hint="eastAsia" w:ascii="仿宋_GB2312" w:hAnsi="仿宋_GB2312" w:eastAsia="仿宋_GB2312" w:cs="仿宋_GB2312"/>
                <w:sz w:val="24"/>
                <w:szCs w:val="24"/>
                <w:highlight w:val="none"/>
              </w:rPr>
              <w:t>3</w:t>
            </w:r>
          </w:p>
        </w:tc>
        <w:tc>
          <w:tcPr>
            <w:tcW w:w="3378" w:type="dxa"/>
            <w:vAlign w:val="center"/>
          </w:tcPr>
          <w:p w14:paraId="0A7A15CD">
            <w:pPr>
              <w:spacing w:line="360" w:lineRule="exact"/>
              <w:jc w:val="center"/>
              <w:rPr>
                <w:rFonts w:hint="eastAsia" w:ascii="仿宋_GB2312" w:hAnsi="仿宋_GB2312" w:eastAsia="仿宋_GB2312" w:cs="仿宋_GB2312"/>
                <w:sz w:val="24"/>
                <w:szCs w:val="24"/>
                <w:highlight w:val="none"/>
                <w:lang w:eastAsia="zh-CN"/>
              </w:rPr>
            </w:pPr>
            <w:r>
              <w:rPr>
                <w:rFonts w:hint="eastAsia" w:ascii="仿宋_GB2312" w:hAnsi="仿宋_GB2312" w:eastAsia="仿宋_GB2312" w:cs="仿宋_GB2312"/>
                <w:sz w:val="24"/>
                <w:szCs w:val="24"/>
                <w:highlight w:val="none"/>
              </w:rPr>
              <w:t>全国城市更新示范城市</w:t>
            </w:r>
          </w:p>
        </w:tc>
        <w:tc>
          <w:tcPr>
            <w:tcW w:w="8133" w:type="dxa"/>
            <w:vAlign w:val="center"/>
          </w:tcPr>
          <w:p w14:paraId="0FC89D64">
            <w:pPr>
              <w:spacing w:line="360" w:lineRule="exact"/>
              <w:jc w:val="left"/>
              <w:rPr>
                <w:rFonts w:hint="eastAsia" w:ascii="仿宋_GB2312" w:hAnsi="仿宋_GB2312" w:eastAsia="仿宋_GB2312" w:cs="仿宋_GB2312"/>
                <w:sz w:val="24"/>
                <w:szCs w:val="24"/>
                <w:highlight w:val="none"/>
                <w:lang w:eastAsia="zh-CN"/>
              </w:rPr>
            </w:pPr>
            <w:r>
              <w:rPr>
                <w:rFonts w:hint="eastAsia" w:ascii="仿宋_GB2312" w:hAnsi="仿宋_GB2312" w:eastAsia="仿宋_GB2312" w:cs="仿宋_GB2312"/>
                <w:sz w:val="24"/>
                <w:szCs w:val="24"/>
                <w:highlight w:val="none"/>
                <w:lang w:val="en-US" w:eastAsia="zh-CN"/>
              </w:rPr>
              <w:t>持续深化全国首批</w:t>
            </w:r>
            <w:r>
              <w:rPr>
                <w:rFonts w:hint="eastAsia" w:ascii="仿宋_GB2312" w:hAnsi="仿宋_GB2312" w:eastAsia="仿宋_GB2312" w:cs="仿宋_GB2312"/>
                <w:sz w:val="24"/>
                <w:szCs w:val="24"/>
                <w:highlight w:val="none"/>
              </w:rPr>
              <w:t>城市更新试点</w:t>
            </w:r>
            <w:r>
              <w:rPr>
                <w:rFonts w:hint="eastAsia" w:ascii="仿宋_GB2312" w:hAnsi="仿宋_GB2312" w:eastAsia="仿宋_GB2312" w:cs="仿宋_GB2312"/>
                <w:sz w:val="24"/>
                <w:szCs w:val="24"/>
                <w:highlight w:val="none"/>
                <w:lang w:val="en-US" w:eastAsia="zh-CN"/>
              </w:rPr>
              <w:t>建设，完善城市更新实施机制，建立可持续的城市更新模式，全面建立房屋使用全生命周期安全管理制度，健全城市规划、建设、治理融合长效机制，</w:t>
            </w:r>
            <w:r>
              <w:rPr>
                <w:rFonts w:hint="eastAsia" w:ascii="仿宋_GB2312" w:hAnsi="仿宋_GB2312" w:eastAsia="仿宋_GB2312" w:cs="仿宋_GB2312"/>
                <w:sz w:val="24"/>
                <w:szCs w:val="24"/>
                <w:highlight w:val="none"/>
              </w:rPr>
              <w:t>形成工矿城市有机更新的“黄石模式”</w:t>
            </w:r>
            <w:r>
              <w:rPr>
                <w:rFonts w:hint="eastAsia" w:ascii="仿宋_GB2312" w:hAnsi="仿宋_GB2312" w:eastAsia="仿宋_GB2312" w:cs="仿宋_GB2312"/>
                <w:sz w:val="24"/>
                <w:szCs w:val="24"/>
                <w:highlight w:val="none"/>
                <w:lang w:eastAsia="zh-CN"/>
              </w:rPr>
              <w:t>。</w:t>
            </w:r>
          </w:p>
        </w:tc>
        <w:tc>
          <w:tcPr>
            <w:tcW w:w="1812" w:type="dxa"/>
            <w:vAlign w:val="center"/>
          </w:tcPr>
          <w:p w14:paraId="56211C3D">
            <w:pPr>
              <w:spacing w:line="360" w:lineRule="exact"/>
              <w:jc w:val="center"/>
              <w:rPr>
                <w:rFonts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市住房和城市更新局</w:t>
            </w:r>
          </w:p>
        </w:tc>
      </w:tr>
      <w:tr w14:paraId="35380E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3" w:hRule="atLeast"/>
          <w:jc w:val="center"/>
        </w:trPr>
        <w:tc>
          <w:tcPr>
            <w:tcW w:w="908" w:type="dxa"/>
            <w:vAlign w:val="center"/>
          </w:tcPr>
          <w:p w14:paraId="21D158C1">
            <w:pPr>
              <w:spacing w:line="360" w:lineRule="exact"/>
              <w:jc w:val="center"/>
              <w:rPr>
                <w:rFonts w:hint="eastAsia" w:ascii="仿宋_GB2312" w:hAnsi="仿宋_GB2312" w:eastAsia="仿宋_GB2312" w:cs="仿宋_GB2312"/>
                <w:sz w:val="24"/>
                <w:szCs w:val="24"/>
                <w:highlight w:val="none"/>
                <w:lang w:val="en-US" w:eastAsia="zh-CN"/>
              </w:rPr>
            </w:pPr>
            <w:r>
              <w:rPr>
                <w:rFonts w:hint="eastAsia" w:ascii="仿宋_GB2312" w:hAnsi="仿宋_GB2312" w:eastAsia="仿宋_GB2312" w:cs="仿宋_GB2312"/>
                <w:sz w:val="24"/>
                <w:szCs w:val="24"/>
                <w:highlight w:val="none"/>
                <w:lang w:val="en-US" w:eastAsia="zh-CN"/>
              </w:rPr>
              <w:t>4</w:t>
            </w:r>
          </w:p>
        </w:tc>
        <w:tc>
          <w:tcPr>
            <w:tcW w:w="3378" w:type="dxa"/>
            <w:vAlign w:val="center"/>
          </w:tcPr>
          <w:p w14:paraId="162ACA16">
            <w:pPr>
              <w:spacing w:line="360" w:lineRule="exact"/>
              <w:jc w:val="center"/>
              <w:rPr>
                <w:rFonts w:hint="eastAsia" w:ascii="仿宋_GB2312" w:hAnsi="仿宋_GB2312" w:eastAsia="仿宋_GB2312" w:cs="仿宋_GB2312"/>
                <w:sz w:val="24"/>
                <w:szCs w:val="24"/>
                <w:highlight w:val="none"/>
                <w:lang w:eastAsia="zh-CN"/>
              </w:rPr>
            </w:pPr>
            <w:r>
              <w:rPr>
                <w:rFonts w:hint="eastAsia" w:ascii="仿宋_GB2312" w:hAnsi="仿宋_GB2312" w:eastAsia="仿宋_GB2312" w:cs="仿宋_GB2312"/>
                <w:sz w:val="24"/>
                <w:szCs w:val="24"/>
                <w:highlight w:val="none"/>
                <w:lang w:val="en-US" w:eastAsia="zh-CN"/>
              </w:rPr>
              <w:t>创建</w:t>
            </w:r>
            <w:r>
              <w:rPr>
                <w:rFonts w:hint="eastAsia" w:ascii="仿宋_GB2312" w:hAnsi="仿宋_GB2312" w:eastAsia="仿宋_GB2312" w:cs="仿宋_GB2312"/>
                <w:sz w:val="24"/>
                <w:szCs w:val="24"/>
                <w:highlight w:val="none"/>
                <w:lang w:eastAsia="zh-CN"/>
              </w:rPr>
              <w:t>国家文物保护利用示范区</w:t>
            </w:r>
          </w:p>
        </w:tc>
        <w:tc>
          <w:tcPr>
            <w:tcW w:w="8133" w:type="dxa"/>
            <w:vAlign w:val="center"/>
          </w:tcPr>
          <w:p w14:paraId="32EB8E6D">
            <w:pPr>
              <w:spacing w:line="340" w:lineRule="exact"/>
              <w:jc w:val="left"/>
              <w:rPr>
                <w:rFonts w:hint="eastAsia" w:ascii="仿宋_GB2312" w:hAnsi="仿宋_GB2312" w:eastAsia="仿宋_GB2312" w:cs="仿宋_GB2312"/>
                <w:sz w:val="24"/>
                <w:szCs w:val="24"/>
                <w:highlight w:val="none"/>
                <w:lang w:eastAsia="zh-CN"/>
              </w:rPr>
            </w:pPr>
            <w:r>
              <w:rPr>
                <w:rFonts w:hint="eastAsia" w:ascii="仿宋_GB2312" w:hAnsi="仿宋_GB2312" w:eastAsia="仿宋_GB2312" w:cs="仿宋_GB2312"/>
                <w:sz w:val="24"/>
                <w:szCs w:val="24"/>
                <w:highlight w:val="none"/>
                <w:lang w:eastAsia="zh-CN"/>
              </w:rPr>
              <w:t>对标落实《国家文物保护利用示范区管理办法》，突出工业遗产这一资源禀赋、创建主题和示范领域，</w:t>
            </w:r>
            <w:r>
              <w:rPr>
                <w:rFonts w:hint="eastAsia" w:ascii="仿宋_GB2312" w:hAnsi="仿宋_GB2312" w:eastAsia="仿宋_GB2312" w:cs="仿宋_GB2312"/>
                <w:sz w:val="24"/>
                <w:szCs w:val="24"/>
                <w:highlight w:val="none"/>
                <w:lang w:val="en-US" w:eastAsia="zh-CN"/>
              </w:rPr>
              <w:t>开展</w:t>
            </w:r>
            <w:r>
              <w:rPr>
                <w:rFonts w:hint="eastAsia" w:ascii="仿宋_GB2312" w:hAnsi="仿宋_GB2312" w:eastAsia="仿宋_GB2312" w:cs="仿宋_GB2312"/>
                <w:sz w:val="24"/>
                <w:szCs w:val="24"/>
                <w:highlight w:val="none"/>
                <w:lang w:eastAsia="zh-CN"/>
              </w:rPr>
              <w:t>国家文物保护利用示范区申报和创建工作。</w:t>
            </w:r>
            <w:r>
              <w:rPr>
                <w:rFonts w:hint="eastAsia" w:ascii="仿宋_GB2312" w:hAnsi="仿宋_GB2312" w:eastAsia="仿宋_GB2312" w:cs="仿宋_GB2312"/>
                <w:sz w:val="24"/>
                <w:szCs w:val="24"/>
                <w:highlight w:val="none"/>
                <w:lang w:val="en-US" w:eastAsia="zh-CN"/>
              </w:rPr>
              <w:t>编制《黄石市工业遗产保护规划》，配合市经信局</w:t>
            </w:r>
            <w:r>
              <w:rPr>
                <w:rFonts w:hint="eastAsia" w:ascii="仿宋_GB2312" w:hAnsi="仿宋_GB2312" w:eastAsia="仿宋_GB2312" w:cs="仿宋_GB2312"/>
                <w:sz w:val="24"/>
                <w:szCs w:val="24"/>
                <w:highlight w:val="none"/>
                <w:lang w:eastAsia="zh-CN"/>
              </w:rPr>
              <w:t>积极申报一批省级、国家级工业遗产，推进市级工业遗产保护展示及活化利用，指导相关部门做好下陆钢铁厂旧址、省拖拉机厂旧址片区保护规划编制与活化利用方案，着力打造工业遗产博物馆城市。</w:t>
            </w:r>
          </w:p>
        </w:tc>
        <w:tc>
          <w:tcPr>
            <w:tcW w:w="1812" w:type="dxa"/>
            <w:vAlign w:val="center"/>
          </w:tcPr>
          <w:p w14:paraId="379165D5">
            <w:pPr>
              <w:spacing w:line="360" w:lineRule="exact"/>
              <w:jc w:val="center"/>
              <w:rPr>
                <w:rFonts w:hint="eastAsia" w:ascii="仿宋_GB2312" w:hAnsi="仿宋_GB2312" w:eastAsia="仿宋_GB2312" w:cs="仿宋_GB2312"/>
                <w:sz w:val="24"/>
                <w:szCs w:val="24"/>
                <w:highlight w:val="none"/>
                <w:lang w:eastAsia="zh-CN"/>
              </w:rPr>
            </w:pPr>
            <w:r>
              <w:rPr>
                <w:rFonts w:hint="eastAsia" w:ascii="仿宋_GB2312" w:hAnsi="仿宋_GB2312" w:eastAsia="仿宋_GB2312" w:cs="仿宋_GB2312"/>
                <w:sz w:val="24"/>
                <w:szCs w:val="24"/>
                <w:highlight w:val="none"/>
                <w:lang w:eastAsia="zh-CN"/>
              </w:rPr>
              <w:t>市文物保护中心</w:t>
            </w:r>
          </w:p>
        </w:tc>
      </w:tr>
    </w:tbl>
    <w:p w14:paraId="34F25C05">
      <w:pPr>
        <w:rPr>
          <w:rFonts w:ascii="Calibri" w:hAnsi="Calibri" w:eastAsia="宋体" w:cs="Times New Roman"/>
        </w:rPr>
      </w:pPr>
    </w:p>
    <w:p w14:paraId="346BB66A"/>
    <w:p w14:paraId="4BFF2EBE">
      <w:pPr>
        <w:adjustRightInd w:val="0"/>
        <w:snapToGrid w:val="0"/>
        <w:spacing w:line="540" w:lineRule="exact"/>
        <w:ind w:firstLine="640" w:firstLineChars="200"/>
        <w:rPr>
          <w:rFonts w:hint="eastAsia" w:ascii="仿宋_GB2312" w:eastAsia="仿宋_GB2312"/>
          <w:sz w:val="32"/>
          <w:szCs w:val="32"/>
        </w:rPr>
        <w:sectPr>
          <w:headerReference r:id="rId7" w:type="first"/>
          <w:headerReference r:id="rId5" w:type="default"/>
          <w:footerReference r:id="rId8" w:type="default"/>
          <w:headerReference r:id="rId6" w:type="even"/>
          <w:footerReference r:id="rId9" w:type="even"/>
          <w:pgSz w:w="16838" w:h="11906" w:orient="landscape"/>
          <w:pgMar w:top="1701" w:right="1418" w:bottom="1531" w:left="1304" w:header="851" w:footer="992" w:gutter="0"/>
          <w:cols w:space="720" w:num="1"/>
          <w:docGrid w:type="lines" w:linePitch="312" w:charSpace="0"/>
        </w:sectPr>
      </w:pPr>
    </w:p>
    <w:p w14:paraId="36D17340">
      <w:pPr>
        <w:adjustRightInd w:val="0"/>
        <w:snapToGrid w:val="0"/>
        <w:spacing w:line="540" w:lineRule="exact"/>
        <w:ind w:firstLine="640" w:firstLineChars="200"/>
        <w:rPr>
          <w:rFonts w:hint="eastAsia" w:ascii="仿宋_GB2312" w:eastAsia="仿宋_GB2312"/>
          <w:sz w:val="32"/>
          <w:szCs w:val="32"/>
        </w:rPr>
      </w:pPr>
    </w:p>
    <w:sectPr>
      <w:pgSz w:w="11906" w:h="16838"/>
      <w:pgMar w:top="1418" w:right="1531" w:bottom="1304" w:left="1701"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12"/>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简体">
    <w:panose1 w:val="02010601030101010101"/>
    <w:charset w:val="86"/>
    <w:family w:val="script"/>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方正小标宋_GBK">
    <w:altName w:val="微软雅黑"/>
    <w:panose1 w:val="03000509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492664">
    <w:pPr>
      <w:widowControl w:val="0"/>
      <w:tabs>
        <w:tab w:val="center" w:pos="4153"/>
        <w:tab w:val="right" w:pos="8306"/>
      </w:tabs>
      <w:snapToGrid w:val="0"/>
      <w:jc w:val="left"/>
      <w:rPr>
        <w:rFonts w:ascii="Calibri" w:hAnsi="Calibri" w:eastAsia="宋体" w:cs="Times New Roman"/>
        <w:kern w:val="2"/>
        <w:sz w:val="18"/>
        <w:szCs w:val="24"/>
        <w:lang w:val="en-US" w:eastAsia="zh-CN" w:bidi="ar-SA"/>
      </w:rPr>
    </w:pPr>
    <w:r>
      <w:rPr>
        <w:rFonts w:ascii="Calibri" w:hAnsi="Calibri" w:eastAsia="宋体" w:cs="Times New Roman"/>
        <w:kern w:val="2"/>
        <w:sz w:val="18"/>
        <w:szCs w:val="24"/>
        <w:lang w:val="en-US" w:eastAsia="zh-CN" w:bidi="ar-SA"/>
      </w:rPr>
      <mc:AlternateContent>
        <mc:Choice Requires="wps">
          <w:drawing>
            <wp:anchor distT="0" distB="0" distL="0" distR="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4097" name="文本框 3"/>
              <wp:cNvGraphicFramePr/>
              <a:graphic xmlns:a="http://schemas.openxmlformats.org/drawingml/2006/main">
                <a:graphicData uri="http://schemas.microsoft.com/office/word/2010/wordprocessingShape">
                  <wps:wsp>
                    <wps:cNvSpPr/>
                    <wps:spPr>
                      <a:xfrm>
                        <a:off x="0" y="0"/>
                        <a:ext cx="1828800" cy="1828800"/>
                      </a:xfrm>
                      <a:prstGeom prst="rect">
                        <a:avLst/>
                      </a:prstGeom>
                      <a:ln>
                        <a:noFill/>
                      </a:ln>
                    </wps:spPr>
                    <wps:txbx>
                      <w:txbxContent>
                        <w:p w14:paraId="1DDBDC51">
                          <w:pPr>
                            <w:widowControl w:val="0"/>
                            <w:tabs>
                              <w:tab w:val="center" w:pos="4153"/>
                              <w:tab w:val="right" w:pos="8306"/>
                            </w:tabs>
                            <w:snapToGrid w:val="0"/>
                            <w:jc w:val="left"/>
                            <w:rPr>
                              <w:rFonts w:hint="default" w:ascii="Times New Roman" w:hAnsi="Times New Roman" w:eastAsia="宋体" w:cs="Times New Roman"/>
                              <w:kern w:val="2"/>
                              <w:sz w:val="21"/>
                              <w:szCs w:val="32"/>
                              <w:lang w:val="en-US" w:eastAsia="zh-CN" w:bidi="ar-SA"/>
                            </w:rPr>
                          </w:pPr>
                          <w:r>
                            <w:rPr>
                              <w:rFonts w:hint="default" w:ascii="Times New Roman" w:hAnsi="Times New Roman" w:eastAsia="宋体" w:cs="Times New Roman"/>
                              <w:kern w:val="2"/>
                              <w:sz w:val="21"/>
                              <w:szCs w:val="32"/>
                              <w:lang w:val="en-US" w:eastAsia="zh-CN" w:bidi="ar-SA"/>
                            </w:rPr>
                            <w:t xml:space="preserve">— </w:t>
                          </w:r>
                          <w:r>
                            <w:rPr>
                              <w:rFonts w:hint="default" w:ascii="Times New Roman" w:hAnsi="Times New Roman" w:eastAsia="宋体" w:cs="Times New Roman"/>
                              <w:kern w:val="2"/>
                              <w:sz w:val="21"/>
                              <w:szCs w:val="32"/>
                              <w:lang w:val="en-US" w:eastAsia="zh-CN" w:bidi="ar-SA"/>
                            </w:rPr>
                            <w:fldChar w:fldCharType="begin"/>
                          </w:r>
                          <w:r>
                            <w:rPr>
                              <w:rFonts w:hint="default" w:ascii="Times New Roman" w:hAnsi="Times New Roman" w:eastAsia="宋体" w:cs="Times New Roman"/>
                              <w:kern w:val="2"/>
                              <w:sz w:val="21"/>
                              <w:szCs w:val="32"/>
                              <w:lang w:val="en-US" w:eastAsia="zh-CN" w:bidi="ar-SA"/>
                            </w:rPr>
                            <w:instrText xml:space="preserve"> PAGE  \* MERGEFORMAT </w:instrText>
                          </w:r>
                          <w:r>
                            <w:rPr>
                              <w:rFonts w:hint="default" w:ascii="Times New Roman" w:hAnsi="Times New Roman" w:eastAsia="宋体" w:cs="Times New Roman"/>
                              <w:kern w:val="2"/>
                              <w:sz w:val="21"/>
                              <w:szCs w:val="32"/>
                              <w:lang w:val="en-US" w:eastAsia="zh-CN" w:bidi="ar-SA"/>
                            </w:rPr>
                            <w:fldChar w:fldCharType="separate"/>
                          </w:r>
                          <w:r>
                            <w:rPr>
                              <w:rFonts w:hint="default" w:ascii="Times New Roman" w:hAnsi="Times New Roman" w:eastAsia="宋体" w:cs="Times New Roman"/>
                              <w:kern w:val="2"/>
                              <w:sz w:val="21"/>
                              <w:szCs w:val="32"/>
                              <w:lang w:val="en-US" w:eastAsia="zh-CN" w:bidi="ar-SA"/>
                            </w:rPr>
                            <w:t>1</w:t>
                          </w:r>
                          <w:r>
                            <w:rPr>
                              <w:rFonts w:hint="default" w:ascii="Times New Roman" w:hAnsi="Times New Roman" w:eastAsia="宋体" w:cs="Times New Roman"/>
                              <w:kern w:val="2"/>
                              <w:sz w:val="21"/>
                              <w:szCs w:val="32"/>
                              <w:lang w:val="en-US" w:eastAsia="zh-CN" w:bidi="ar-SA"/>
                            </w:rPr>
                            <w:fldChar w:fldCharType="end"/>
                          </w:r>
                          <w:r>
                            <w:rPr>
                              <w:rFonts w:hint="default" w:ascii="Times New Roman" w:hAnsi="Times New Roman" w:eastAsia="宋体" w:cs="Times New Roman"/>
                              <w:kern w:val="2"/>
                              <w:sz w:val="21"/>
                              <w:szCs w:val="32"/>
                              <w:lang w:val="en-US" w:eastAsia="zh-CN" w:bidi="ar-SA"/>
                            </w:rPr>
                            <w:t xml:space="preserve"> —</w:t>
                          </w:r>
                        </w:p>
                      </w:txbxContent>
                    </wps:txbx>
                    <wps:bodyPr vert="horz" wrap="none" lIns="0" tIns="0" rIns="0" bIns="0" anchor="t" upright="0">
                      <a:spAutoFit/>
                    </wps:bodyPr>
                  </wps:wsp>
                </a:graphicData>
              </a:graphic>
            </wp:anchor>
          </w:drawing>
        </mc:Choice>
        <mc:Fallback>
          <w:pict>
            <v:rect id="文本框 3" o:spid="_x0000_s1026" o:spt="1"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&#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">
              <v:fill on="f" focussize="0,0"/>
              <v:stroke on="f"/>
              <v:imagedata o:title=""/>
              <o:lock v:ext="edit" aspectratio="f"/>
              <v:textbox inset="0mm,0mm,0mm,0mm" style="mso-fit-shape-to-text:t;">
                <w:txbxContent>
                  <w:p w14:paraId="1DDBDC51">
                    <w:pPr>
                      <w:widowControl w:val="0"/>
                      <w:tabs>
                        <w:tab w:val="center" w:pos="4153"/>
                        <w:tab w:val="right" w:pos="8306"/>
                      </w:tabs>
                      <w:snapToGrid w:val="0"/>
                      <w:jc w:val="left"/>
                      <w:rPr>
                        <w:rFonts w:hint="default" w:ascii="Times New Roman" w:hAnsi="Times New Roman" w:eastAsia="宋体" w:cs="Times New Roman"/>
                        <w:kern w:val="2"/>
                        <w:sz w:val="21"/>
                        <w:szCs w:val="32"/>
                        <w:lang w:val="en-US" w:eastAsia="zh-CN" w:bidi="ar-SA"/>
                      </w:rPr>
                    </w:pPr>
                    <w:r>
                      <w:rPr>
                        <w:rFonts w:hint="default" w:ascii="Times New Roman" w:hAnsi="Times New Roman" w:eastAsia="宋体" w:cs="Times New Roman"/>
                        <w:kern w:val="2"/>
                        <w:sz w:val="21"/>
                        <w:szCs w:val="32"/>
                        <w:lang w:val="en-US" w:eastAsia="zh-CN" w:bidi="ar-SA"/>
                      </w:rPr>
                      <w:t xml:space="preserve">— </w:t>
                    </w:r>
                    <w:r>
                      <w:rPr>
                        <w:rFonts w:hint="default" w:ascii="Times New Roman" w:hAnsi="Times New Roman" w:eastAsia="宋体" w:cs="Times New Roman"/>
                        <w:kern w:val="2"/>
                        <w:sz w:val="21"/>
                        <w:szCs w:val="32"/>
                        <w:lang w:val="en-US" w:eastAsia="zh-CN" w:bidi="ar-SA"/>
                      </w:rPr>
                      <w:fldChar w:fldCharType="begin"/>
                    </w:r>
                    <w:r>
                      <w:rPr>
                        <w:rFonts w:hint="default" w:ascii="Times New Roman" w:hAnsi="Times New Roman" w:eastAsia="宋体" w:cs="Times New Roman"/>
                        <w:kern w:val="2"/>
                        <w:sz w:val="21"/>
                        <w:szCs w:val="32"/>
                        <w:lang w:val="en-US" w:eastAsia="zh-CN" w:bidi="ar-SA"/>
                      </w:rPr>
                      <w:instrText xml:space="preserve"> PAGE  \* MERGEFORMAT </w:instrText>
                    </w:r>
                    <w:r>
                      <w:rPr>
                        <w:rFonts w:hint="default" w:ascii="Times New Roman" w:hAnsi="Times New Roman" w:eastAsia="宋体" w:cs="Times New Roman"/>
                        <w:kern w:val="2"/>
                        <w:sz w:val="21"/>
                        <w:szCs w:val="32"/>
                        <w:lang w:val="en-US" w:eastAsia="zh-CN" w:bidi="ar-SA"/>
                      </w:rPr>
                      <w:fldChar w:fldCharType="separate"/>
                    </w:r>
                    <w:r>
                      <w:rPr>
                        <w:rFonts w:hint="default" w:ascii="Times New Roman" w:hAnsi="Times New Roman" w:eastAsia="宋体" w:cs="Times New Roman"/>
                        <w:kern w:val="2"/>
                        <w:sz w:val="21"/>
                        <w:szCs w:val="32"/>
                        <w:lang w:val="en-US" w:eastAsia="zh-CN" w:bidi="ar-SA"/>
                      </w:rPr>
                      <w:t>1</w:t>
                    </w:r>
                    <w:r>
                      <w:rPr>
                        <w:rFonts w:hint="default" w:ascii="Times New Roman" w:hAnsi="Times New Roman" w:eastAsia="宋体" w:cs="Times New Roman"/>
                        <w:kern w:val="2"/>
                        <w:sz w:val="21"/>
                        <w:szCs w:val="32"/>
                        <w:lang w:val="en-US" w:eastAsia="zh-CN" w:bidi="ar-SA"/>
                      </w:rPr>
                      <w:fldChar w:fldCharType="end"/>
                    </w:r>
                    <w:r>
                      <w:rPr>
                        <w:rFonts w:hint="default" w:ascii="Times New Roman" w:hAnsi="Times New Roman" w:eastAsia="宋体" w:cs="Times New Roman"/>
                        <w:kern w:val="2"/>
                        <w:sz w:val="21"/>
                        <w:szCs w:val="32"/>
                        <w:lang w:val="en-US" w:eastAsia="zh-CN" w:bidi="ar-SA"/>
                      </w:rPr>
                      <w:t xml:space="preserve"> —</w:t>
                    </w:r>
                  </w:p>
                </w:txbxContent>
              </v:textbox>
            </v:rect>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68DBC74">
    <w:pPr>
      <w:widowControl w:val="0"/>
      <w:tabs>
        <w:tab w:val="center" w:pos="4153"/>
        <w:tab w:val="right" w:pos="8306"/>
      </w:tabs>
      <w:snapToGrid w:val="0"/>
      <w:jc w:val="left"/>
      <w:rPr>
        <w:rFonts w:ascii="Calibri" w:hAnsi="Calibri" w:eastAsia="宋体" w:cs="Times New Roman"/>
        <w:kern w:val="2"/>
        <w:sz w:val="18"/>
        <w:szCs w:val="24"/>
        <w:lang w:val="en-US" w:eastAsia="zh-CN" w:bidi="ar-SA"/>
      </w:rPr>
    </w:pPr>
    <w:r>
      <w:rPr>
        <w:rFonts w:ascii="Calibri" w:hAnsi="Calibri" w:eastAsia="宋体" w:cs="Times New Roman"/>
        <w:kern w:val="2"/>
        <w:sz w:val="18"/>
        <w:szCs w:val="24"/>
        <w:lang w:val="en-US" w:eastAsia="zh-CN" w:bidi="ar-SA"/>
      </w:rPr>
      <mc:AlternateContent>
        <mc:Choice Requires="wps">
          <w:drawing>
            <wp:anchor distT="0" distB="0" distL="0" distR="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4098" name="文本框 4"/>
              <wp:cNvGraphicFramePr/>
              <a:graphic xmlns:a="http://schemas.openxmlformats.org/drawingml/2006/main">
                <a:graphicData uri="http://schemas.microsoft.com/office/word/2010/wordprocessingShape">
                  <wps:wsp>
                    <wps:cNvSpPr/>
                    <wps:spPr>
                      <a:xfrm>
                        <a:off x="0" y="0"/>
                        <a:ext cx="1828800" cy="1828800"/>
                      </a:xfrm>
                      <a:prstGeom prst="rect">
                        <a:avLst/>
                      </a:prstGeom>
                      <a:ln>
                        <a:noFill/>
                      </a:ln>
                    </wps:spPr>
                    <wps:txbx>
                      <w:txbxContent>
                        <w:p w14:paraId="76D4E506">
                          <w:pPr>
                            <w:widowControl w:val="0"/>
                            <w:tabs>
                              <w:tab w:val="center" w:pos="4153"/>
                              <w:tab w:val="right" w:pos="8306"/>
                            </w:tabs>
                            <w:snapToGrid w:val="0"/>
                            <w:jc w:val="left"/>
                            <w:rPr>
                              <w:rFonts w:hint="default" w:ascii="Times New Roman" w:hAnsi="Times New Roman" w:eastAsia="宋体" w:cs="Times New Roman"/>
                              <w:kern w:val="2"/>
                              <w:sz w:val="21"/>
                              <w:szCs w:val="32"/>
                              <w:lang w:val="en-US" w:eastAsia="zh-CN" w:bidi="ar-SA"/>
                            </w:rPr>
                          </w:pPr>
                          <w:r>
                            <w:rPr>
                              <w:rFonts w:hint="default" w:ascii="Times New Roman" w:hAnsi="Times New Roman" w:eastAsia="宋体" w:cs="Times New Roman"/>
                              <w:kern w:val="2"/>
                              <w:sz w:val="21"/>
                              <w:szCs w:val="32"/>
                              <w:lang w:val="en-US" w:eastAsia="zh-CN" w:bidi="ar-SA"/>
                            </w:rPr>
                            <w:t xml:space="preserve">— </w:t>
                          </w:r>
                          <w:r>
                            <w:rPr>
                              <w:rFonts w:hint="default" w:ascii="Times New Roman" w:hAnsi="Times New Roman" w:eastAsia="宋体" w:cs="Times New Roman"/>
                              <w:kern w:val="2"/>
                              <w:sz w:val="21"/>
                              <w:szCs w:val="32"/>
                              <w:lang w:val="en-US" w:eastAsia="zh-CN" w:bidi="ar-SA"/>
                            </w:rPr>
                            <w:fldChar w:fldCharType="begin"/>
                          </w:r>
                          <w:r>
                            <w:rPr>
                              <w:rFonts w:hint="default" w:ascii="Times New Roman" w:hAnsi="Times New Roman" w:eastAsia="宋体" w:cs="Times New Roman"/>
                              <w:kern w:val="2"/>
                              <w:sz w:val="21"/>
                              <w:szCs w:val="32"/>
                              <w:lang w:val="en-US" w:eastAsia="zh-CN" w:bidi="ar-SA"/>
                            </w:rPr>
                            <w:instrText xml:space="preserve"> PAGE  \* MERGEFORMAT </w:instrText>
                          </w:r>
                          <w:r>
                            <w:rPr>
                              <w:rFonts w:hint="default" w:ascii="Times New Roman" w:hAnsi="Times New Roman" w:eastAsia="宋体" w:cs="Times New Roman"/>
                              <w:kern w:val="2"/>
                              <w:sz w:val="21"/>
                              <w:szCs w:val="32"/>
                              <w:lang w:val="en-US" w:eastAsia="zh-CN" w:bidi="ar-SA"/>
                            </w:rPr>
                            <w:fldChar w:fldCharType="separate"/>
                          </w:r>
                          <w:r>
                            <w:rPr>
                              <w:rFonts w:hint="default" w:ascii="Times New Roman" w:hAnsi="Times New Roman" w:eastAsia="宋体" w:cs="Times New Roman"/>
                              <w:kern w:val="2"/>
                              <w:sz w:val="21"/>
                              <w:szCs w:val="32"/>
                              <w:lang w:val="en-US" w:eastAsia="zh-CN" w:bidi="ar-SA"/>
                            </w:rPr>
                            <w:t>12</w:t>
                          </w:r>
                          <w:r>
                            <w:rPr>
                              <w:rFonts w:hint="default" w:ascii="Times New Roman" w:hAnsi="Times New Roman" w:eastAsia="宋体" w:cs="Times New Roman"/>
                              <w:kern w:val="2"/>
                              <w:sz w:val="21"/>
                              <w:szCs w:val="32"/>
                              <w:lang w:val="en-US" w:eastAsia="zh-CN" w:bidi="ar-SA"/>
                            </w:rPr>
                            <w:fldChar w:fldCharType="end"/>
                          </w:r>
                          <w:r>
                            <w:rPr>
                              <w:rFonts w:hint="default" w:ascii="Times New Roman" w:hAnsi="Times New Roman" w:eastAsia="宋体" w:cs="Times New Roman"/>
                              <w:kern w:val="2"/>
                              <w:sz w:val="21"/>
                              <w:szCs w:val="32"/>
                              <w:lang w:val="en-US" w:eastAsia="zh-CN" w:bidi="ar-SA"/>
                            </w:rPr>
                            <w:t xml:space="preserve"> —</w:t>
                          </w:r>
                        </w:p>
                      </w:txbxContent>
                    </wps:txbx>
                    <wps:bodyPr vert="horz" wrap="none" lIns="0" tIns="0" rIns="0" bIns="0" anchor="t" upright="0">
                      <a:spAutoFit/>
                    </wps:bodyPr>
                  </wps:wsp>
                </a:graphicData>
              </a:graphic>
            </wp:anchor>
          </w:drawing>
        </mc:Choice>
        <mc:Fallback>
          <w:pict>
            <v:rect id="文本框 4" o:spid="_x0000_s1026" o:spt="1"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">
              <v:fill on="f" focussize="0,0"/>
              <v:stroke on="f"/>
              <v:imagedata o:title=""/>
              <o:lock v:ext="edit" aspectratio="f"/>
              <v:textbox inset="0mm,0mm,0mm,0mm" style="mso-fit-shape-to-text:t;">
                <w:txbxContent>
                  <w:p w14:paraId="76D4E506">
                    <w:pPr>
                      <w:widowControl w:val="0"/>
                      <w:tabs>
                        <w:tab w:val="center" w:pos="4153"/>
                        <w:tab w:val="right" w:pos="8306"/>
                      </w:tabs>
                      <w:snapToGrid w:val="0"/>
                      <w:jc w:val="left"/>
                      <w:rPr>
                        <w:rFonts w:hint="default" w:ascii="Times New Roman" w:hAnsi="Times New Roman" w:eastAsia="宋体" w:cs="Times New Roman"/>
                        <w:kern w:val="2"/>
                        <w:sz w:val="21"/>
                        <w:szCs w:val="32"/>
                        <w:lang w:val="en-US" w:eastAsia="zh-CN" w:bidi="ar-SA"/>
                      </w:rPr>
                    </w:pPr>
                    <w:r>
                      <w:rPr>
                        <w:rFonts w:hint="default" w:ascii="Times New Roman" w:hAnsi="Times New Roman" w:eastAsia="宋体" w:cs="Times New Roman"/>
                        <w:kern w:val="2"/>
                        <w:sz w:val="21"/>
                        <w:szCs w:val="32"/>
                        <w:lang w:val="en-US" w:eastAsia="zh-CN" w:bidi="ar-SA"/>
                      </w:rPr>
                      <w:t xml:space="preserve">— </w:t>
                    </w:r>
                    <w:r>
                      <w:rPr>
                        <w:rFonts w:hint="default" w:ascii="Times New Roman" w:hAnsi="Times New Roman" w:eastAsia="宋体" w:cs="Times New Roman"/>
                        <w:kern w:val="2"/>
                        <w:sz w:val="21"/>
                        <w:szCs w:val="32"/>
                        <w:lang w:val="en-US" w:eastAsia="zh-CN" w:bidi="ar-SA"/>
                      </w:rPr>
                      <w:fldChar w:fldCharType="begin"/>
                    </w:r>
                    <w:r>
                      <w:rPr>
                        <w:rFonts w:hint="default" w:ascii="Times New Roman" w:hAnsi="Times New Roman" w:eastAsia="宋体" w:cs="Times New Roman"/>
                        <w:kern w:val="2"/>
                        <w:sz w:val="21"/>
                        <w:szCs w:val="32"/>
                        <w:lang w:val="en-US" w:eastAsia="zh-CN" w:bidi="ar-SA"/>
                      </w:rPr>
                      <w:instrText xml:space="preserve"> PAGE  \* MERGEFORMAT </w:instrText>
                    </w:r>
                    <w:r>
                      <w:rPr>
                        <w:rFonts w:hint="default" w:ascii="Times New Roman" w:hAnsi="Times New Roman" w:eastAsia="宋体" w:cs="Times New Roman"/>
                        <w:kern w:val="2"/>
                        <w:sz w:val="21"/>
                        <w:szCs w:val="32"/>
                        <w:lang w:val="en-US" w:eastAsia="zh-CN" w:bidi="ar-SA"/>
                      </w:rPr>
                      <w:fldChar w:fldCharType="separate"/>
                    </w:r>
                    <w:r>
                      <w:rPr>
                        <w:rFonts w:hint="default" w:ascii="Times New Roman" w:hAnsi="Times New Roman" w:eastAsia="宋体" w:cs="Times New Roman"/>
                        <w:kern w:val="2"/>
                        <w:sz w:val="21"/>
                        <w:szCs w:val="32"/>
                        <w:lang w:val="en-US" w:eastAsia="zh-CN" w:bidi="ar-SA"/>
                      </w:rPr>
                      <w:t>12</w:t>
                    </w:r>
                    <w:r>
                      <w:rPr>
                        <w:rFonts w:hint="default" w:ascii="Times New Roman" w:hAnsi="Times New Roman" w:eastAsia="宋体" w:cs="Times New Roman"/>
                        <w:kern w:val="2"/>
                        <w:sz w:val="21"/>
                        <w:szCs w:val="32"/>
                        <w:lang w:val="en-US" w:eastAsia="zh-CN" w:bidi="ar-SA"/>
                      </w:rPr>
                      <w:fldChar w:fldCharType="end"/>
                    </w:r>
                    <w:r>
                      <w:rPr>
                        <w:rFonts w:hint="default" w:ascii="Times New Roman" w:hAnsi="Times New Roman" w:eastAsia="宋体" w:cs="Times New Roman"/>
                        <w:kern w:val="2"/>
                        <w:sz w:val="21"/>
                        <w:szCs w:val="32"/>
                        <w:lang w:val="en-US" w:eastAsia="zh-CN" w:bidi="ar-SA"/>
                      </w:rPr>
                      <w:t xml:space="preserve"> —</w:t>
                    </w:r>
                  </w:p>
                </w:txbxContent>
              </v:textbox>
            </v:rect>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31DF264">
    <w:pPr>
      <w:pStyle w:val="8"/>
      <w:framePr w:wrap="around" w:vAnchor="text" w:hAnchor="margin" w:xAlign="center" w:y="1"/>
      <w:rPr>
        <w:rStyle w:val="15"/>
      </w:rPr>
    </w:pPr>
    <w:r>
      <w:fldChar w:fldCharType="begin"/>
    </w:r>
    <w:r>
      <w:rPr>
        <w:rStyle w:val="15"/>
      </w:rPr>
      <w:instrText xml:space="preserve">PAGE  </w:instrText>
    </w:r>
    <w:r>
      <w:fldChar w:fldCharType="separate"/>
    </w:r>
    <w:r>
      <w:rPr>
        <w:rStyle w:val="15"/>
      </w:rPr>
      <w:t>1</w:t>
    </w:r>
    <w:r>
      <w:fldChar w:fldCharType="end"/>
    </w:r>
  </w:p>
  <w:p w14:paraId="5BFC0BBA">
    <w:pPr>
      <w:pStyle w:val="8"/>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E6163BC">
    <w:pPr>
      <w:pStyle w:val="8"/>
      <w:framePr w:wrap="around" w:vAnchor="text" w:hAnchor="margin" w:xAlign="center" w:y="1"/>
      <w:rPr>
        <w:rStyle w:val="15"/>
      </w:rPr>
    </w:pPr>
    <w:r>
      <w:fldChar w:fldCharType="begin"/>
    </w:r>
    <w:r>
      <w:rPr>
        <w:rStyle w:val="15"/>
      </w:rPr>
      <w:instrText xml:space="preserve">PAGE  </w:instrText>
    </w:r>
    <w:r>
      <w:fldChar w:fldCharType="separate"/>
    </w:r>
    <w:r>
      <w:fldChar w:fldCharType="end"/>
    </w:r>
  </w:p>
  <w:p w14:paraId="1D80EB18">
    <w:pPr>
      <w:pStyle w:val="8"/>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0532CDE">
    <w:pPr>
      <w:pStyle w:val="9"/>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66DD513">
    <w:pPr>
      <w:pStyle w:val="9"/>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BE9DCFF">
    <w:pPr>
      <w:pStyle w:val="9"/>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0"/>
    <w:multiLevelType w:val="singleLevel"/>
    <w:tmpl w:val="00000000"/>
    <w:lvl w:ilvl="0" w:tentative="0">
      <w:start w:val="1"/>
      <w:numFmt w:val="decimal"/>
      <w:suff w:val="nothing"/>
      <w:lvlText w:val="%1"/>
      <w:lvlJc w:val="left"/>
      <w:pPr>
        <w:ind w:left="425" w:hanging="425"/>
      </w:pPr>
      <w:rPr>
        <w:rFonts w:hint="default"/>
      </w:rPr>
    </w:lvl>
  </w:abstractNum>
  <w:abstractNum w:abstractNumId="1">
    <w:nsid w:val="00000001"/>
    <w:multiLevelType w:val="singleLevel"/>
    <w:tmpl w:val="00000001"/>
    <w:lvl w:ilvl="0" w:tentative="0">
      <w:start w:val="1"/>
      <w:numFmt w:val="decimal"/>
      <w:suff w:val="nothing"/>
      <w:lvlText w:val="%1."/>
      <w:lvlJc w:val="left"/>
      <w:pPr>
        <w:ind w:left="425" w:hanging="425"/>
      </w:pPr>
      <w:rPr>
        <w:rFonts w:hint="default" w:ascii="Times New Roman" w:hAnsi="Times New Roman" w:eastAsia="仿宋_GB2312" w:cs="Times New Roman"/>
        <w:b/>
        <w:bCs/>
        <w:sz w:val="32"/>
        <w:szCs w:val="32"/>
      </w:rPr>
    </w:lvl>
  </w:abstractNum>
  <w:abstractNum w:abstractNumId="2">
    <w:nsid w:val="00000002"/>
    <w:multiLevelType w:val="singleLevel"/>
    <w:tmpl w:val="00000002"/>
    <w:lvl w:ilvl="0" w:tentative="0">
      <w:start w:val="1"/>
      <w:numFmt w:val="decimal"/>
      <w:suff w:val="nothing"/>
      <w:lvlText w:val="%1"/>
      <w:lvlJc w:val="left"/>
      <w:pPr>
        <w:ind w:left="425" w:hanging="425"/>
      </w:pPr>
      <w:rPr>
        <w:rFonts w:hint="default"/>
      </w:rPr>
    </w:lvl>
  </w:abstractNum>
  <w:abstractNum w:abstractNumId="3">
    <w:nsid w:val="00000003"/>
    <w:multiLevelType w:val="singleLevel"/>
    <w:tmpl w:val="00000003"/>
    <w:lvl w:ilvl="0" w:tentative="0">
      <w:start w:val="1"/>
      <w:numFmt w:val="chineseCounting"/>
      <w:suff w:val="nothing"/>
      <w:lvlText w:val="（%1）"/>
      <w:lvlJc w:val="left"/>
      <w:pPr>
        <w:ind w:left="0" w:firstLine="420"/>
      </w:pPr>
      <w:rPr>
        <w:rFonts w:hint="eastAsia" w:ascii="楷体_GB2312" w:hAnsi="楷体_GB2312" w:eastAsia="楷体_GB2312" w:cs="楷体_GB2312"/>
        <w:sz w:val="32"/>
        <w:szCs w:val="32"/>
      </w:rPr>
    </w:lvl>
  </w:abstractNum>
  <w:abstractNum w:abstractNumId="4">
    <w:nsid w:val="00000004"/>
    <w:multiLevelType w:val="singleLevel"/>
    <w:tmpl w:val="00000004"/>
    <w:lvl w:ilvl="0" w:tentative="0">
      <w:start w:val="1"/>
      <w:numFmt w:val="decimal"/>
      <w:suff w:val="nothing"/>
      <w:lvlText w:val="%1"/>
      <w:lvlJc w:val="left"/>
      <w:pPr>
        <w:ind w:left="425" w:hanging="425"/>
      </w:pPr>
      <w:rPr>
        <w:rFonts w:hint="default"/>
      </w:rPr>
    </w:lvl>
  </w:abstractNum>
  <w:abstractNum w:abstractNumId="5">
    <w:nsid w:val="00000005"/>
    <w:multiLevelType w:val="singleLevel"/>
    <w:tmpl w:val="00000005"/>
    <w:lvl w:ilvl="0" w:tentative="0">
      <w:start w:val="1"/>
      <w:numFmt w:val="decimal"/>
      <w:suff w:val="nothing"/>
      <w:lvlText w:val="%1"/>
      <w:lvlJc w:val="center"/>
      <w:pPr>
        <w:tabs>
          <w:tab w:val="left" w:pos="0"/>
        </w:tabs>
        <w:ind w:left="0" w:firstLine="0"/>
      </w:pPr>
      <w:rPr>
        <w:highlight w:val="none"/>
      </w:rPr>
    </w:lvl>
  </w:abstractNum>
  <w:num w:numId="1">
    <w:abstractNumId w:val="3"/>
  </w:num>
  <w:num w:numId="2">
    <w:abstractNumId w:val="1"/>
  </w:num>
  <w:num w:numId="3">
    <w:abstractNumId w:val="0"/>
  </w:num>
  <w:num w:numId="4">
    <w:abstractNumId w:val="5"/>
    <w:lvlOverride w:ilvl="0">
      <w:startOverride w:val="1"/>
    </w:lvlOverride>
  </w:num>
  <w:num w:numId="5">
    <w:abstractNumId w:val="4"/>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VerticalSpacing w:val="156"/>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4672B9"/>
    <w:rsid w:val="03306488"/>
    <w:rsid w:val="03AF1619"/>
    <w:rsid w:val="06B31420"/>
    <w:rsid w:val="09BA785F"/>
    <w:rsid w:val="0F22541B"/>
    <w:rsid w:val="112F3D99"/>
    <w:rsid w:val="12071A36"/>
    <w:rsid w:val="14C022D9"/>
    <w:rsid w:val="16E34BEA"/>
    <w:rsid w:val="1B32070E"/>
    <w:rsid w:val="209E5928"/>
    <w:rsid w:val="20B83463"/>
    <w:rsid w:val="213351E0"/>
    <w:rsid w:val="256F255E"/>
    <w:rsid w:val="26042A1C"/>
    <w:rsid w:val="2F587508"/>
    <w:rsid w:val="31B464D4"/>
    <w:rsid w:val="36D34080"/>
    <w:rsid w:val="38DA2BE8"/>
    <w:rsid w:val="39FD5F33"/>
    <w:rsid w:val="413D35A4"/>
    <w:rsid w:val="433C187A"/>
    <w:rsid w:val="45B95404"/>
    <w:rsid w:val="46A71700"/>
    <w:rsid w:val="481903DC"/>
    <w:rsid w:val="48E24C72"/>
    <w:rsid w:val="499A379E"/>
    <w:rsid w:val="4C383089"/>
    <w:rsid w:val="4C6360CA"/>
    <w:rsid w:val="4FD81BCD"/>
    <w:rsid w:val="54302D35"/>
    <w:rsid w:val="57C22735"/>
    <w:rsid w:val="5A9626F6"/>
    <w:rsid w:val="5CEC5C67"/>
    <w:rsid w:val="63907C91"/>
    <w:rsid w:val="67414CAE"/>
    <w:rsid w:val="6808604B"/>
    <w:rsid w:val="69AA28C2"/>
    <w:rsid w:val="6CC263B6"/>
    <w:rsid w:val="757840E4"/>
    <w:rsid w:val="75AD3D8E"/>
    <w:rsid w:val="792327AE"/>
    <w:rsid w:val="7BBA26DB"/>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99"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qFormat="1"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4">
    <w:name w:val="Default Paragraph Font"/>
    <w:qFormat/>
    <w:uiPriority w:val="0"/>
  </w:style>
  <w:style w:type="table" w:default="1" w:styleId="12">
    <w:name w:val="Normal Table"/>
    <w:qFormat/>
    <w:uiPriority w:val="99"/>
    <w:tblPr>
      <w:tblCellMar>
        <w:top w:w="0" w:type="dxa"/>
        <w:left w:w="108" w:type="dxa"/>
        <w:bottom w:w="0" w:type="dxa"/>
        <w:right w:w="108" w:type="dxa"/>
      </w:tblCellMar>
    </w:tblPr>
  </w:style>
  <w:style w:type="paragraph" w:styleId="2">
    <w:name w:val="Body Text"/>
    <w:basedOn w:val="1"/>
    <w:unhideWhenUsed/>
    <w:qFormat/>
    <w:uiPriority w:val="0"/>
    <w:pPr>
      <w:spacing w:after="120"/>
    </w:pPr>
  </w:style>
  <w:style w:type="paragraph" w:styleId="3">
    <w:name w:val="Normal Indent"/>
    <w:qFormat/>
    <w:uiPriority w:val="99"/>
    <w:pPr>
      <w:widowControl w:val="0"/>
      <w:ind w:firstLine="200" w:firstLineChars="200"/>
      <w:jc w:val="both"/>
    </w:pPr>
    <w:rPr>
      <w:rFonts w:ascii="Times New Roman" w:hAnsi="Times New Roman" w:eastAsia="仿宋_GB2312" w:cs="Times New Roman"/>
      <w:kern w:val="2"/>
      <w:sz w:val="32"/>
      <w:szCs w:val="24"/>
      <w:lang w:val="en-US" w:eastAsia="zh-CN" w:bidi="ar-SA"/>
    </w:rPr>
  </w:style>
  <w:style w:type="paragraph" w:styleId="4">
    <w:name w:val="Body Text Indent"/>
    <w:basedOn w:val="1"/>
    <w:qFormat/>
    <w:uiPriority w:val="0"/>
    <w:pPr>
      <w:spacing w:after="120" w:afterAutospacing="0"/>
      <w:ind w:left="420" w:leftChars="200"/>
    </w:pPr>
  </w:style>
  <w:style w:type="paragraph" w:styleId="5">
    <w:name w:val="Plain Text"/>
    <w:basedOn w:val="1"/>
    <w:uiPriority w:val="0"/>
    <w:rPr>
      <w:rFonts w:ascii="宋体" w:hAnsi="Courier New" w:cs="Courier New"/>
      <w:szCs w:val="21"/>
    </w:rPr>
  </w:style>
  <w:style w:type="paragraph" w:styleId="6">
    <w:name w:val="Date"/>
    <w:basedOn w:val="1"/>
    <w:next w:val="1"/>
    <w:uiPriority w:val="0"/>
    <w:pPr>
      <w:ind w:left="100" w:leftChars="2500"/>
    </w:pPr>
  </w:style>
  <w:style w:type="paragraph" w:styleId="7">
    <w:name w:val="Balloon Text"/>
    <w:basedOn w:val="1"/>
    <w:uiPriority w:val="0"/>
    <w:rPr>
      <w:sz w:val="18"/>
      <w:szCs w:val="18"/>
    </w:rPr>
  </w:style>
  <w:style w:type="paragraph" w:styleId="8">
    <w:name w:val="footer"/>
    <w:basedOn w:val="1"/>
    <w:uiPriority w:val="0"/>
    <w:pPr>
      <w:tabs>
        <w:tab w:val="center" w:pos="4153"/>
        <w:tab w:val="right" w:pos="8306"/>
      </w:tabs>
      <w:snapToGrid w:val="0"/>
      <w:jc w:val="left"/>
    </w:pPr>
    <w:rPr>
      <w:sz w:val="18"/>
      <w:szCs w:val="18"/>
    </w:rPr>
  </w:style>
  <w:style w:type="paragraph" w:styleId="9">
    <w:name w:val="header"/>
    <w:basedOn w:val="1"/>
    <w:uiPriority w:val="0"/>
    <w:pPr>
      <w:pBdr>
        <w:bottom w:val="single" w:color="auto" w:sz="6" w:space="1"/>
      </w:pBdr>
      <w:tabs>
        <w:tab w:val="center" w:pos="4153"/>
        <w:tab w:val="right" w:pos="8306"/>
      </w:tabs>
      <w:snapToGrid w:val="0"/>
      <w:jc w:val="center"/>
    </w:pPr>
    <w:rPr>
      <w:sz w:val="18"/>
      <w:szCs w:val="18"/>
    </w:rPr>
  </w:style>
  <w:style w:type="paragraph" w:styleId="10">
    <w:name w:val="Normal (Web)"/>
    <w:basedOn w:val="1"/>
    <w:qFormat/>
    <w:uiPriority w:val="0"/>
    <w:pPr>
      <w:spacing w:before="100" w:beforeAutospacing="1" w:after="100" w:afterAutospacing="1"/>
      <w:ind w:left="0" w:right="0"/>
      <w:jc w:val="left"/>
    </w:pPr>
    <w:rPr>
      <w:kern w:val="0"/>
      <w:sz w:val="24"/>
      <w:lang w:val="en-US" w:eastAsia="zh-CN"/>
    </w:rPr>
  </w:style>
  <w:style w:type="paragraph" w:styleId="11">
    <w:name w:val="Body Text First Indent 2"/>
    <w:basedOn w:val="4"/>
    <w:qFormat/>
    <w:uiPriority w:val="0"/>
    <w:pPr>
      <w:ind w:firstLine="420" w:firstLineChars="200"/>
    </w:pPr>
  </w:style>
  <w:style w:type="table" w:styleId="13">
    <w:name w:val="Table Grid"/>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
  </w:style>
  <w:style w:type="character" w:styleId="15">
    <w:name w:val="page number"/>
    <w:basedOn w:val="14"/>
    <w:uiPriority w:val="0"/>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P R C</Company>
  <Pages>33</Pages>
  <Words>9273</Words>
  <Characters>9437</Characters>
  <Paragraphs>1642</Paragraphs>
  <TotalTime>35</TotalTime>
  <ScaleCrop>false</ScaleCrop>
  <LinksUpToDate>false</LinksUpToDate>
  <CharactersWithSpaces>9438</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2016-11-24T09:03:00Z</dcterms:created>
  <dc:creator>China</dc:creator>
  <cp:lastModifiedBy>Administrator</cp:lastModifiedBy>
  <cp:lastPrinted>2016-11-18T17:14:00Z</cp:lastPrinted>
  <dcterms:modified xsi:type="dcterms:W3CDTF">2026-05-27T00:48:57Z</dcterms:modified>
  <dc:title>市政府常务会议汇报材料</dc:title>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KSOTemplateDocerSaveRecord">
    <vt:lpwstr>eyJoZGlkIjoiYmNmNWY4NDA5YTQxNDgzNzE0MzM5YjhkYTdlNTgyMzMifQ==</vt:lpwstr>
  </property>
  <property fmtid="{D5CDD505-2E9C-101B-9397-08002B2CF9AE}" pid="4" name="ICV">
    <vt:lpwstr>8ec3fdc0ec3245fbadc1172306b91e2e_23</vt:lpwstr>
  </property>
</Properties>
</file>