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DD679C">
      <w:pPr>
        <w:rPr>
          <w:rFonts w:hint="eastAsia"/>
        </w:rPr>
      </w:pPr>
    </w:p>
    <w:p w14:paraId="609EA54C">
      <w:pPr>
        <w:adjustRightInd w:val="0"/>
        <w:snapToGrid/>
        <w:spacing w:line="600" w:lineRule="exact"/>
        <w:ind w:firstLine="0" w:firstLineChars="0"/>
        <w:jc w:val="center"/>
        <w:rPr>
          <w:rFonts w:ascii="方正公文小标宋" w:hAnsi="方正公文小标宋" w:eastAsia="方正公文小标宋" w:cs="Times New Roman"/>
          <w:sz w:val="44"/>
          <w:szCs w:val="24"/>
        </w:rPr>
      </w:pPr>
      <w:r>
        <w:rPr>
          <w:rFonts w:hint="eastAsia" w:ascii="方正公文小标宋" w:hAnsi="方正公文小标宋" w:eastAsia="方正公文小标宋" w:cs="Times New Roman"/>
          <w:sz w:val="44"/>
          <w:szCs w:val="24"/>
        </w:rPr>
        <w:t>黄石市生态环境保护“十五五”规划</w:t>
      </w:r>
    </w:p>
    <w:p w14:paraId="40D94FCF">
      <w:pPr>
        <w:adjustRightInd w:val="0"/>
        <w:snapToGrid/>
        <w:spacing w:line="640" w:lineRule="exact"/>
        <w:ind w:firstLine="0" w:firstLineChars="0"/>
        <w:jc w:val="center"/>
        <w:rPr>
          <w:rFonts w:hint="eastAsia" w:ascii="方正公文小标宋" w:hAnsi="方正公文小标宋" w:eastAsia="方正公文小标宋" w:cs="Times New Roman"/>
          <w:sz w:val="44"/>
          <w:szCs w:val="24"/>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征求意见</w:t>
      </w:r>
      <w:r>
        <w:rPr>
          <w:rFonts w:hint="eastAsia" w:ascii="楷体_GB2312" w:hAnsi="楷体_GB2312" w:eastAsia="楷体_GB2312" w:cs="楷体_GB2312"/>
          <w:sz w:val="32"/>
          <w:szCs w:val="32"/>
        </w:rPr>
        <w:t>稿）</w:t>
      </w:r>
    </w:p>
    <w:p w14:paraId="1DBE54DE">
      <w:pPr>
        <w:pStyle w:val="21"/>
        <w:keepNext w:val="0"/>
        <w:keepLines w:val="0"/>
        <w:pageBreakBefore w:val="0"/>
        <w:widowControl w:val="0"/>
        <w:kinsoku/>
        <w:wordWrap/>
        <w:overflowPunct/>
        <w:topLinePunct w:val="0"/>
        <w:autoSpaceDE/>
        <w:autoSpaceDN/>
        <w:bidi w:val="0"/>
        <w:adjustRightInd/>
        <w:snapToGrid w:val="0"/>
        <w:ind w:firstLine="720"/>
        <w:textAlignment w:val="auto"/>
        <w:rPr>
          <w:rFonts w:hint="eastAsia" w:ascii="黑体" w:hAnsi="黑体" w:eastAsia="黑体" w:cs="黑体"/>
          <w:bCs/>
          <w:kern w:val="44"/>
          <w:sz w:val="32"/>
          <w:szCs w:val="32"/>
          <w:lang w:val="en-US" w:eastAsia="zh-CN" w:bidi="ar-SA"/>
        </w:rPr>
      </w:pPr>
      <w:bookmarkStart w:id="0" w:name="_Toc13904"/>
      <w:r>
        <w:rPr>
          <w:rFonts w:hint="eastAsia" w:ascii="Times New Roman" w:hAnsi="Times New Roman" w:cs="Times New Roman"/>
          <w:sz w:val="32"/>
          <w:szCs w:val="32"/>
          <w:lang w:val="en-US" w:eastAsia="zh-CN"/>
        </w:rPr>
        <w:t>为贯彻落实党中央、国务院决策部署及省委、省政府和市委、市政府工作要求，全面推</w:t>
      </w:r>
      <w:bookmarkStart w:id="94" w:name="_GoBack"/>
      <w:bookmarkEnd w:id="94"/>
      <w:r>
        <w:rPr>
          <w:rFonts w:hint="eastAsia" w:ascii="Times New Roman" w:hAnsi="Times New Roman" w:cs="Times New Roman"/>
          <w:sz w:val="32"/>
          <w:szCs w:val="32"/>
          <w:lang w:val="en-US" w:eastAsia="zh-CN"/>
        </w:rPr>
        <w:t>进美丽黄石建设，根据国家</w:t>
      </w:r>
      <w:r>
        <w:rPr>
          <w:rFonts w:hint="eastAsia" w:cs="Times New Roman"/>
          <w:sz w:val="32"/>
          <w:szCs w:val="32"/>
          <w:lang w:val="en-US" w:eastAsia="zh-CN"/>
        </w:rPr>
        <w:t>、省</w:t>
      </w:r>
      <w:r>
        <w:rPr>
          <w:rFonts w:hint="eastAsia" w:ascii="Times New Roman" w:hAnsi="Times New Roman" w:cs="Times New Roman"/>
          <w:sz w:val="32"/>
          <w:szCs w:val="32"/>
          <w:lang w:val="en-US" w:eastAsia="zh-CN"/>
        </w:rPr>
        <w:t>有关规划和《黄石市国民经济和社会发展第十五个五年规划纲要》，制定本规划。</w:t>
      </w:r>
    </w:p>
    <w:bookmarkEnd w:id="0"/>
    <w:p w14:paraId="731F5896">
      <w:pPr>
        <w:pStyle w:val="3"/>
        <w:keepNext w:val="0"/>
        <w:keepLines w:val="0"/>
        <w:pageBreakBefore w:val="0"/>
        <w:widowControl w:val="0"/>
        <w:kinsoku/>
        <w:wordWrap/>
        <w:overflowPunct/>
        <w:topLinePunct w:val="0"/>
        <w:autoSpaceDE/>
        <w:autoSpaceDN/>
        <w:bidi w:val="0"/>
        <w:adjustRightInd/>
        <w:snapToGrid w:val="0"/>
        <w:spacing w:before="0" w:beforeLines="0" w:after="0" w:afterLines="0"/>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一、总体要求</w:t>
      </w:r>
    </w:p>
    <w:p w14:paraId="3B8F5B6A">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jc w:val="both"/>
        <w:textAlignment w:val="auto"/>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以习近平新时代中国特色社会主义思想为指导，全面贯彻党的二十大和二十届历次全会精神，深入贯彻习近平生态文明思想和习近平总书记考察湖北重要讲话精神，认真落实党中央、国务院</w:t>
      </w:r>
      <w:r>
        <w:rPr>
          <w:rFonts w:hint="eastAsia" w:cs="Times New Roman"/>
          <w:sz w:val="32"/>
          <w:szCs w:val="32"/>
          <w:lang w:val="en-US" w:eastAsia="zh-CN"/>
        </w:rPr>
        <w:t>，</w:t>
      </w:r>
      <w:r>
        <w:rPr>
          <w:rFonts w:hint="eastAsia" w:ascii="Times New Roman" w:hAnsi="Times New Roman" w:cs="Times New Roman"/>
          <w:sz w:val="32"/>
          <w:szCs w:val="32"/>
          <w:lang w:val="en-US" w:eastAsia="zh-CN"/>
        </w:rPr>
        <w:t>省委、省政府</w:t>
      </w:r>
      <w:r>
        <w:rPr>
          <w:rFonts w:hint="eastAsia" w:cs="Times New Roman"/>
          <w:sz w:val="32"/>
          <w:szCs w:val="32"/>
          <w:lang w:val="en-US" w:eastAsia="zh-CN"/>
        </w:rPr>
        <w:t>，</w:t>
      </w:r>
      <w:r>
        <w:rPr>
          <w:rFonts w:hint="eastAsia" w:ascii="Times New Roman" w:hAnsi="Times New Roman" w:cs="Times New Roman"/>
          <w:sz w:val="32"/>
          <w:szCs w:val="32"/>
          <w:lang w:val="en-US" w:eastAsia="zh-CN"/>
        </w:rPr>
        <w:t>市委、市政府决策部署，牢固树立和践行绿水青山就是金山银山的理念，锚定打造武汉都市圈重要增长极目标，始终把修复长江生态环境摆在压倒性位置，以全面推进美丽黄石建设为主线，全面落实精准科学依法治污，协同推进降碳、减污、扩绿、增长，统筹产业绿色低碳转型、减污降碳协同增效、环境质量改善、生态保护修复、环境安全保障、治理水平提升等重点任务，提供更多优质生态产品以满足人民日益增长的美好生活需要，为奋力谱写中国式现代化湖北篇章贡献黄石力量。</w:t>
      </w:r>
    </w:p>
    <w:p w14:paraId="4E36AE06">
      <w:pPr>
        <w:snapToGrid w:val="0"/>
        <w:spacing w:after="0" w:line="580" w:lineRule="exact"/>
        <w:ind w:firstLine="643"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b/>
          <w:bCs/>
          <w:sz w:val="32"/>
          <w:szCs w:val="32"/>
        </w:rPr>
        <w:t>到2030年，生态环境质量全面改善，美丽黄石建设取得新的重大进展。</w:t>
      </w:r>
      <w:r>
        <w:rPr>
          <w:rFonts w:hint="eastAsia" w:ascii="Times New Roman" w:hAnsi="Times New Roman" w:eastAsia="仿宋_GB2312" w:cs="Times New Roman"/>
          <w:sz w:val="32"/>
          <w:szCs w:val="32"/>
        </w:rPr>
        <w:t>长江干流黄石段水质稳定保持在Ⅱ类，绿色生产生活方式基本形成，主要污染物排放总量持续减少，减污降碳协同增效水平显著提升，生态系统多样性稳定性持续性不断提升，生态安全屏障更加稳固，城乡人居环境显著改善，生态环境治理体系不断健全，人民群众生态环境获得感、幸福感、安全感不断增强。</w:t>
      </w:r>
    </w:p>
    <w:p w14:paraId="2FFAA4D9">
      <w:pPr>
        <w:snapToGrid w:val="0"/>
        <w:spacing w:after="0" w:line="580" w:lineRule="exact"/>
        <w:ind w:firstLine="643" w:firstLineChars="200"/>
        <w:jc w:val="both"/>
        <w:rPr>
          <w:rFonts w:hint="eastAsia" w:ascii="楷体_GB2312" w:hAnsi="楷体_GB2312" w:eastAsia="楷体_GB2312" w:cs="楷体_GB2312"/>
          <w:sz w:val="32"/>
          <w:szCs w:val="32"/>
        </w:rPr>
      </w:pPr>
      <w:r>
        <w:rPr>
          <w:rFonts w:hint="eastAsia" w:ascii="Times New Roman" w:hAnsi="Times New Roman" w:eastAsia="仿宋_GB2312" w:cs="Times New Roman"/>
          <w:b/>
          <w:bCs/>
          <w:sz w:val="32"/>
          <w:szCs w:val="32"/>
        </w:rPr>
        <w:t>2035年，生态环境根本好转，美丽黄石基本建成。</w:t>
      </w:r>
      <w:r>
        <w:rPr>
          <w:rFonts w:hint="eastAsia" w:ascii="Times New Roman" w:hAnsi="Times New Roman" w:eastAsia="仿宋_GB2312" w:cs="Times New Roman"/>
          <w:sz w:val="32"/>
          <w:szCs w:val="32"/>
        </w:rPr>
        <w:t>绿色生产生活方式广泛形成，碳排放达峰后稳中有降，生态系统多样性稳定性持续性显著提升，生态环境风险得到全面管控，绿色低碳发展水平和应对气候变化能力显著提升，生态环境治理体系和治理能力现代化基本实现，碧水、蓝天、青山、绿地、美城（村）、宜居宜业的美丽黄石图景全面呈现。</w:t>
      </w:r>
    </w:p>
    <w:tbl>
      <w:tblPr>
        <w:tblStyle w:val="16"/>
        <w:tblW w:w="91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018"/>
        <w:gridCol w:w="613"/>
        <w:gridCol w:w="1213"/>
        <w:gridCol w:w="1884"/>
        <w:gridCol w:w="1551"/>
        <w:gridCol w:w="1698"/>
        <w:gridCol w:w="1183"/>
      </w:tblGrid>
      <w:tr w14:paraId="40855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1" w:hRule="atLeast"/>
          <w:tblHeader/>
          <w:jc w:val="center"/>
        </w:trPr>
        <w:tc>
          <w:tcPr>
            <w:tcW w:w="9160" w:type="dxa"/>
            <w:gridSpan w:val="7"/>
            <w:noWrap w:val="0"/>
            <w:tcMar>
              <w:left w:w="108" w:type="dxa"/>
              <w:right w:w="108" w:type="dxa"/>
            </w:tcMar>
            <w:vAlign w:val="center"/>
          </w:tcPr>
          <w:p w14:paraId="068D45DD">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楷体_GB2312" w:hAnsi="楷体_GB2312" w:eastAsia="楷体_GB2312" w:cs="楷体_GB2312"/>
                <w:sz w:val="24"/>
                <w:szCs w:val="24"/>
              </w:rPr>
            </w:pPr>
            <w:r>
              <w:rPr>
                <w:rFonts w:hint="eastAsia" w:ascii="楷体_GB2312" w:hAnsi="楷体_GB2312" w:eastAsia="楷体_GB2312" w:cs="楷体_GB2312"/>
                <w:sz w:val="24"/>
                <w:szCs w:val="24"/>
              </w:rPr>
              <w:t>专栏1 主要指标</w:t>
            </w:r>
          </w:p>
        </w:tc>
      </w:tr>
      <w:tr w14:paraId="68E67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1018" w:type="dxa"/>
            <w:noWrap w:val="0"/>
            <w:tcMar>
              <w:left w:w="108" w:type="dxa"/>
              <w:right w:w="108" w:type="dxa"/>
            </w:tcMar>
            <w:vAlign w:val="center"/>
          </w:tcPr>
          <w:p w14:paraId="56C83867">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指标</w:t>
            </w:r>
          </w:p>
          <w:p w14:paraId="738663C2">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b/>
                <w:kern w:val="0"/>
                <w:sz w:val="24"/>
                <w:szCs w:val="24"/>
              </w:rPr>
            </w:pPr>
            <w:r>
              <w:rPr>
                <w:rFonts w:hint="eastAsia" w:ascii="仿宋_GB2312" w:hAnsi="仿宋_GB2312" w:eastAsia="仿宋_GB2312" w:cs="仿宋_GB2312"/>
                <w:b/>
                <w:bCs/>
                <w:color w:val="000000"/>
                <w:kern w:val="0"/>
                <w:sz w:val="24"/>
                <w:szCs w:val="24"/>
              </w:rPr>
              <w:t>类别</w:t>
            </w:r>
          </w:p>
        </w:tc>
        <w:tc>
          <w:tcPr>
            <w:tcW w:w="613" w:type="dxa"/>
            <w:noWrap w:val="0"/>
            <w:tcMar>
              <w:left w:w="108" w:type="dxa"/>
              <w:right w:w="108" w:type="dxa"/>
            </w:tcMar>
            <w:vAlign w:val="center"/>
          </w:tcPr>
          <w:p w14:paraId="746FFA12">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cs="仿宋_GB2312"/>
                <w:b/>
                <w:bCs/>
                <w:kern w:val="0"/>
                <w:sz w:val="24"/>
                <w:szCs w:val="24"/>
                <w:lang w:val="en-US" w:eastAsia="zh-CN"/>
              </w:rPr>
              <w:t>序号</w:t>
            </w:r>
          </w:p>
        </w:tc>
        <w:tc>
          <w:tcPr>
            <w:tcW w:w="3097" w:type="dxa"/>
            <w:gridSpan w:val="2"/>
            <w:noWrap w:val="0"/>
            <w:tcMar>
              <w:left w:w="108" w:type="dxa"/>
              <w:right w:w="108" w:type="dxa"/>
            </w:tcMar>
            <w:vAlign w:val="center"/>
          </w:tcPr>
          <w:p w14:paraId="463DBAE3">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b/>
                <w:kern w:val="0"/>
                <w:sz w:val="24"/>
                <w:szCs w:val="24"/>
              </w:rPr>
            </w:pPr>
            <w:r>
              <w:rPr>
                <w:rFonts w:hint="eastAsia" w:ascii="仿宋_GB2312" w:hAnsi="仿宋_GB2312" w:eastAsia="仿宋_GB2312" w:cs="仿宋_GB2312"/>
                <w:b/>
                <w:bCs/>
                <w:kern w:val="0"/>
                <w:sz w:val="24"/>
                <w:szCs w:val="24"/>
              </w:rPr>
              <w:t>指标名称</w:t>
            </w:r>
          </w:p>
        </w:tc>
        <w:tc>
          <w:tcPr>
            <w:tcW w:w="1551" w:type="dxa"/>
            <w:noWrap w:val="0"/>
            <w:tcMar>
              <w:left w:w="108" w:type="dxa"/>
              <w:right w:w="108" w:type="dxa"/>
            </w:tcMar>
            <w:vAlign w:val="center"/>
          </w:tcPr>
          <w:p w14:paraId="0EDD3155">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b/>
                <w:kern w:val="0"/>
                <w:sz w:val="24"/>
                <w:szCs w:val="24"/>
              </w:rPr>
            </w:pPr>
            <w:r>
              <w:rPr>
                <w:rFonts w:hint="eastAsia" w:ascii="仿宋_GB2312" w:hAnsi="仿宋_GB2312" w:eastAsia="仿宋_GB2312" w:cs="仿宋_GB2312"/>
                <w:b/>
                <w:bCs/>
                <w:kern w:val="0"/>
                <w:sz w:val="24"/>
                <w:szCs w:val="24"/>
              </w:rPr>
              <w:t>202</w:t>
            </w:r>
            <w:r>
              <w:rPr>
                <w:rFonts w:hint="eastAsia" w:ascii="仿宋_GB2312" w:hAnsi="仿宋_GB2312" w:cs="仿宋_GB2312"/>
                <w:b/>
                <w:bCs/>
                <w:kern w:val="0"/>
                <w:sz w:val="24"/>
                <w:szCs w:val="24"/>
                <w:lang w:val="en-US" w:eastAsia="zh-CN"/>
              </w:rPr>
              <w:t>5</w:t>
            </w:r>
            <w:r>
              <w:rPr>
                <w:rFonts w:hint="eastAsia" w:ascii="仿宋_GB2312" w:hAnsi="仿宋_GB2312" w:eastAsia="仿宋_GB2312" w:cs="仿宋_GB2312"/>
                <w:b/>
                <w:bCs/>
                <w:kern w:val="0"/>
                <w:sz w:val="24"/>
                <w:szCs w:val="24"/>
              </w:rPr>
              <w:t>年</w:t>
            </w:r>
          </w:p>
        </w:tc>
        <w:tc>
          <w:tcPr>
            <w:tcW w:w="1698" w:type="dxa"/>
            <w:noWrap w:val="0"/>
            <w:tcMar>
              <w:left w:w="108" w:type="dxa"/>
              <w:right w:w="108" w:type="dxa"/>
            </w:tcMar>
            <w:vAlign w:val="center"/>
          </w:tcPr>
          <w:p w14:paraId="29097222">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b/>
                <w:kern w:val="0"/>
                <w:sz w:val="24"/>
                <w:szCs w:val="24"/>
              </w:rPr>
            </w:pPr>
            <w:r>
              <w:rPr>
                <w:rFonts w:hint="eastAsia" w:ascii="仿宋_GB2312" w:hAnsi="仿宋_GB2312" w:eastAsia="仿宋_GB2312" w:cs="仿宋_GB2312"/>
                <w:b/>
                <w:bCs/>
                <w:kern w:val="0"/>
                <w:sz w:val="24"/>
                <w:szCs w:val="24"/>
              </w:rPr>
              <w:t>2030年</w:t>
            </w:r>
          </w:p>
        </w:tc>
        <w:tc>
          <w:tcPr>
            <w:tcW w:w="1183" w:type="dxa"/>
            <w:noWrap w:val="0"/>
            <w:tcMar>
              <w:left w:w="108" w:type="dxa"/>
              <w:right w:w="108" w:type="dxa"/>
            </w:tcMar>
            <w:vAlign w:val="center"/>
          </w:tcPr>
          <w:p w14:paraId="52ADDEE5">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b/>
                <w:kern w:val="0"/>
                <w:sz w:val="24"/>
                <w:szCs w:val="24"/>
              </w:rPr>
            </w:pPr>
            <w:r>
              <w:rPr>
                <w:rFonts w:hint="eastAsia" w:ascii="仿宋_GB2312" w:hAnsi="仿宋_GB2312" w:eastAsia="仿宋_GB2312" w:cs="仿宋_GB2312"/>
                <w:b/>
                <w:bCs/>
                <w:kern w:val="0"/>
                <w:sz w:val="24"/>
                <w:szCs w:val="24"/>
              </w:rPr>
              <w:t>指标属性</w:t>
            </w:r>
          </w:p>
        </w:tc>
      </w:tr>
      <w:tr w14:paraId="74A13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restart"/>
            <w:noWrap w:val="0"/>
            <w:tcMar>
              <w:left w:w="108" w:type="dxa"/>
              <w:right w:w="108" w:type="dxa"/>
            </w:tcMar>
            <w:vAlign w:val="center"/>
          </w:tcPr>
          <w:p w14:paraId="07D20A28">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b/>
                <w:bCs/>
                <w:color w:val="000000"/>
                <w:kern w:val="0"/>
                <w:sz w:val="24"/>
                <w:szCs w:val="24"/>
              </w:rPr>
              <w:t>环境质量改善</w:t>
            </w:r>
          </w:p>
        </w:tc>
        <w:tc>
          <w:tcPr>
            <w:tcW w:w="613" w:type="dxa"/>
            <w:noWrap w:val="0"/>
            <w:tcMar>
              <w:left w:w="108" w:type="dxa"/>
              <w:right w:w="108" w:type="dxa"/>
            </w:tcMar>
            <w:vAlign w:val="center"/>
          </w:tcPr>
          <w:p w14:paraId="044FDC06">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cs="仿宋_GB2312"/>
                <w:color w:val="000000"/>
                <w:kern w:val="0"/>
                <w:sz w:val="24"/>
                <w:szCs w:val="24"/>
                <w:lang w:val="en-US" w:eastAsia="zh-CN"/>
              </w:rPr>
              <w:t>1</w:t>
            </w:r>
          </w:p>
        </w:tc>
        <w:tc>
          <w:tcPr>
            <w:tcW w:w="3097" w:type="dxa"/>
            <w:gridSpan w:val="2"/>
            <w:noWrap w:val="0"/>
            <w:tcMar>
              <w:left w:w="108" w:type="dxa"/>
              <w:right w:w="108" w:type="dxa"/>
            </w:tcMar>
            <w:vAlign w:val="center"/>
          </w:tcPr>
          <w:p w14:paraId="23DE6E56">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细颗粒物（PM</w:t>
            </w:r>
            <w:r>
              <w:rPr>
                <w:rFonts w:hint="eastAsia" w:ascii="仿宋_GB2312" w:hAnsi="仿宋_GB2312" w:eastAsia="仿宋_GB2312" w:cs="仿宋_GB2312"/>
                <w:color w:val="000000"/>
                <w:kern w:val="0"/>
                <w:sz w:val="24"/>
                <w:szCs w:val="24"/>
                <w:vertAlign w:val="subscript"/>
              </w:rPr>
              <w:t>2.5</w:t>
            </w:r>
            <w:r>
              <w:rPr>
                <w:rFonts w:hint="eastAsia" w:ascii="仿宋_GB2312" w:hAnsi="仿宋_GB2312" w:eastAsia="仿宋_GB2312" w:cs="仿宋_GB2312"/>
                <w:color w:val="000000"/>
                <w:kern w:val="0"/>
                <w:sz w:val="24"/>
                <w:szCs w:val="24"/>
              </w:rPr>
              <w:t>）浓度（微克/立方米）</w:t>
            </w:r>
          </w:p>
        </w:tc>
        <w:tc>
          <w:tcPr>
            <w:tcW w:w="1551" w:type="dxa"/>
            <w:noWrap w:val="0"/>
            <w:tcMar>
              <w:left w:w="108" w:type="dxa"/>
              <w:right w:w="108" w:type="dxa"/>
            </w:tcMar>
            <w:vAlign w:val="center"/>
          </w:tcPr>
          <w:p w14:paraId="78A02016">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Times New Roman" w:eastAsia="仿宋_GB2312" w:cs="Times New Roman"/>
                <w:sz w:val="24"/>
                <w:szCs w:val="24"/>
                <w:lang w:eastAsia="zh-CN"/>
              </w:rPr>
            </w:pPr>
            <w:r>
              <w:rPr>
                <w:rFonts w:hint="eastAsia" w:ascii="仿宋_GB2312" w:hAnsi="Times New Roman" w:eastAsia="仿宋_GB2312" w:cs="Times New Roman"/>
                <w:sz w:val="24"/>
                <w:szCs w:val="24"/>
              </w:rPr>
              <w:t>32.</w:t>
            </w:r>
            <w:r>
              <w:rPr>
                <w:rFonts w:hint="eastAsia" w:ascii="仿宋_GB2312" w:cs="Times New Roman"/>
                <w:sz w:val="24"/>
                <w:szCs w:val="24"/>
                <w:lang w:val="en-US" w:eastAsia="zh-CN"/>
              </w:rPr>
              <w:t>4</w:t>
            </w:r>
          </w:p>
        </w:tc>
        <w:tc>
          <w:tcPr>
            <w:tcW w:w="1698" w:type="dxa"/>
            <w:noWrap w:val="0"/>
            <w:tcMar>
              <w:left w:w="108" w:type="dxa"/>
              <w:right w:w="108" w:type="dxa"/>
            </w:tcMar>
            <w:vAlign w:val="center"/>
          </w:tcPr>
          <w:p w14:paraId="320D6BA6">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default" w:ascii="仿宋_GB2312" w:hAnsi="Times New Roman" w:eastAsia="仿宋_GB2312" w:cs="Times New Roman"/>
                <w:sz w:val="24"/>
                <w:szCs w:val="24"/>
                <w:lang w:val="en-US" w:eastAsia="zh-CN"/>
              </w:rPr>
            </w:pPr>
            <w:r>
              <w:rPr>
                <w:rFonts w:hint="eastAsia" w:ascii="仿宋_GB2312" w:hAnsi="Times New Roman" w:cs="Times New Roman"/>
                <w:sz w:val="24"/>
                <w:szCs w:val="24"/>
                <w:lang w:val="en-US" w:eastAsia="zh-CN"/>
              </w:rPr>
              <w:t>完成省定目标</w:t>
            </w:r>
          </w:p>
        </w:tc>
        <w:tc>
          <w:tcPr>
            <w:tcW w:w="1183" w:type="dxa"/>
            <w:noWrap w:val="0"/>
            <w:tcMar>
              <w:left w:w="108" w:type="dxa"/>
              <w:right w:w="108" w:type="dxa"/>
            </w:tcMar>
            <w:vAlign w:val="center"/>
          </w:tcPr>
          <w:p w14:paraId="5ABFC258">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b/>
                <w:bCs/>
                <w:color w:val="000000"/>
                <w:kern w:val="0"/>
                <w:sz w:val="24"/>
                <w:szCs w:val="24"/>
              </w:rPr>
              <w:t>约束性</w:t>
            </w:r>
          </w:p>
        </w:tc>
      </w:tr>
      <w:tr w14:paraId="0E0DB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noWrap w:val="0"/>
            <w:tcMar>
              <w:left w:w="108" w:type="dxa"/>
              <w:right w:w="108" w:type="dxa"/>
            </w:tcMar>
            <w:vAlign w:val="center"/>
          </w:tcPr>
          <w:p w14:paraId="098159AB">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sz w:val="24"/>
                <w:szCs w:val="24"/>
              </w:rPr>
            </w:pPr>
          </w:p>
        </w:tc>
        <w:tc>
          <w:tcPr>
            <w:tcW w:w="613" w:type="dxa"/>
            <w:noWrap w:val="0"/>
            <w:tcMar>
              <w:left w:w="108" w:type="dxa"/>
              <w:right w:w="108" w:type="dxa"/>
            </w:tcMar>
            <w:vAlign w:val="center"/>
          </w:tcPr>
          <w:p w14:paraId="692C0369">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default" w:ascii="仿宋_GB2312" w:hAnsi="仿宋_GB2312" w:cs="仿宋_GB2312"/>
                <w:color w:val="000000"/>
                <w:kern w:val="0"/>
                <w:sz w:val="24"/>
                <w:szCs w:val="24"/>
                <w:lang w:val="en-US" w:eastAsia="zh-CN"/>
              </w:rPr>
            </w:pPr>
            <w:r>
              <w:rPr>
                <w:rFonts w:hint="eastAsia" w:ascii="仿宋_GB2312" w:hAnsi="仿宋_GB2312" w:cs="仿宋_GB2312"/>
                <w:color w:val="000000"/>
                <w:kern w:val="0"/>
                <w:sz w:val="24"/>
                <w:szCs w:val="24"/>
                <w:lang w:val="en-US" w:eastAsia="zh-CN"/>
              </w:rPr>
              <w:t>2</w:t>
            </w:r>
          </w:p>
        </w:tc>
        <w:tc>
          <w:tcPr>
            <w:tcW w:w="3097" w:type="dxa"/>
            <w:gridSpan w:val="2"/>
            <w:noWrap w:val="0"/>
            <w:tcMar>
              <w:left w:w="108" w:type="dxa"/>
              <w:right w:w="108" w:type="dxa"/>
            </w:tcMar>
            <w:vAlign w:val="center"/>
          </w:tcPr>
          <w:p w14:paraId="28C9B2AB">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cs="仿宋_GB2312"/>
                <w:color w:val="000000"/>
                <w:kern w:val="0"/>
                <w:sz w:val="24"/>
                <w:szCs w:val="24"/>
                <w:lang w:val="en-US" w:eastAsia="zh-CN"/>
              </w:rPr>
              <w:t>空气质量</w:t>
            </w:r>
            <w:r>
              <w:rPr>
                <w:rFonts w:hint="eastAsia" w:ascii="仿宋_GB2312" w:hAnsi="仿宋_GB2312" w:eastAsia="仿宋_GB2312" w:cs="仿宋_GB2312"/>
                <w:color w:val="000000"/>
                <w:kern w:val="0"/>
                <w:sz w:val="24"/>
                <w:szCs w:val="24"/>
              </w:rPr>
              <w:t>优良天数比</w:t>
            </w:r>
            <w:r>
              <w:rPr>
                <w:rFonts w:hint="eastAsia" w:ascii="仿宋_GB2312" w:hAnsi="仿宋_GB2312" w:cs="仿宋_GB2312"/>
                <w:color w:val="000000"/>
                <w:kern w:val="0"/>
                <w:sz w:val="24"/>
                <w:szCs w:val="24"/>
                <w:lang w:val="en-US" w:eastAsia="zh-CN"/>
              </w:rPr>
              <w:t>例</w:t>
            </w:r>
            <w:r>
              <w:rPr>
                <w:rFonts w:hint="eastAsia" w:ascii="仿宋_GB2312" w:hAnsi="仿宋_GB2312" w:eastAsia="仿宋_GB2312" w:cs="仿宋_GB2312"/>
                <w:color w:val="000000"/>
                <w:kern w:val="0"/>
                <w:sz w:val="24"/>
                <w:szCs w:val="24"/>
              </w:rPr>
              <w:t>（%）</w:t>
            </w:r>
          </w:p>
        </w:tc>
        <w:tc>
          <w:tcPr>
            <w:tcW w:w="1551" w:type="dxa"/>
            <w:noWrap w:val="0"/>
            <w:tcMar>
              <w:left w:w="108" w:type="dxa"/>
              <w:right w:w="108" w:type="dxa"/>
            </w:tcMar>
            <w:vAlign w:val="center"/>
          </w:tcPr>
          <w:p w14:paraId="2A82574D">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default" w:ascii="仿宋_GB2312" w:hAnsi="Times New Roman" w:eastAsia="仿宋_GB2312" w:cs="Times New Roman"/>
                <w:sz w:val="24"/>
                <w:szCs w:val="24"/>
                <w:lang w:val="en-US" w:eastAsia="zh-CN"/>
              </w:rPr>
            </w:pPr>
            <w:r>
              <w:rPr>
                <w:rFonts w:hint="eastAsia" w:ascii="仿宋_GB2312" w:hAnsi="Times New Roman" w:eastAsia="仿宋_GB2312" w:cs="Times New Roman"/>
                <w:sz w:val="24"/>
                <w:szCs w:val="24"/>
                <w:lang w:val="en-US" w:eastAsia="zh-CN"/>
              </w:rPr>
              <w:t>87.5</w:t>
            </w:r>
          </w:p>
        </w:tc>
        <w:tc>
          <w:tcPr>
            <w:tcW w:w="1698" w:type="dxa"/>
            <w:noWrap w:val="0"/>
            <w:tcMar>
              <w:left w:w="108" w:type="dxa"/>
              <w:right w:w="108" w:type="dxa"/>
            </w:tcMar>
            <w:vAlign w:val="center"/>
          </w:tcPr>
          <w:p w14:paraId="5481507F">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ascii="仿宋_GB2312" w:hAnsi="Times New Roman" w:eastAsia="仿宋_GB2312" w:cs="Times New Roman"/>
                <w:sz w:val="24"/>
                <w:szCs w:val="24"/>
              </w:rPr>
            </w:pPr>
            <w:r>
              <w:rPr>
                <w:rFonts w:hint="eastAsia" w:ascii="仿宋_GB2312" w:hAnsi="Times New Roman" w:eastAsia="仿宋_GB2312" w:cs="Times New Roman"/>
                <w:sz w:val="24"/>
                <w:szCs w:val="24"/>
              </w:rPr>
              <w:t>完成省定目标</w:t>
            </w:r>
          </w:p>
        </w:tc>
        <w:tc>
          <w:tcPr>
            <w:tcW w:w="1183" w:type="dxa"/>
            <w:noWrap w:val="0"/>
            <w:tcMar>
              <w:left w:w="108" w:type="dxa"/>
              <w:right w:w="108" w:type="dxa"/>
            </w:tcMar>
            <w:vAlign w:val="center"/>
          </w:tcPr>
          <w:p w14:paraId="4A7A7E21">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预期性</w:t>
            </w:r>
          </w:p>
        </w:tc>
      </w:tr>
      <w:tr w14:paraId="462B6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1018" w:type="dxa"/>
            <w:vMerge w:val="continue"/>
            <w:noWrap w:val="0"/>
            <w:tcMar>
              <w:left w:w="108" w:type="dxa"/>
              <w:right w:w="108" w:type="dxa"/>
            </w:tcMar>
            <w:vAlign w:val="center"/>
          </w:tcPr>
          <w:p w14:paraId="2434A110">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sz w:val="24"/>
                <w:szCs w:val="24"/>
              </w:rPr>
            </w:pPr>
          </w:p>
        </w:tc>
        <w:tc>
          <w:tcPr>
            <w:tcW w:w="613" w:type="dxa"/>
            <w:noWrap w:val="0"/>
            <w:tcMar>
              <w:left w:w="108" w:type="dxa"/>
              <w:right w:w="108" w:type="dxa"/>
            </w:tcMar>
            <w:vAlign w:val="center"/>
          </w:tcPr>
          <w:p w14:paraId="6E4B0E0B">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cs="仿宋_GB2312"/>
                <w:color w:val="000000"/>
                <w:kern w:val="0"/>
                <w:sz w:val="24"/>
                <w:szCs w:val="24"/>
                <w:lang w:val="en-US" w:eastAsia="zh-CN"/>
              </w:rPr>
              <w:t>3</w:t>
            </w:r>
          </w:p>
        </w:tc>
        <w:tc>
          <w:tcPr>
            <w:tcW w:w="3097" w:type="dxa"/>
            <w:gridSpan w:val="2"/>
            <w:noWrap w:val="0"/>
            <w:tcMar>
              <w:left w:w="108" w:type="dxa"/>
              <w:right w:w="108" w:type="dxa"/>
            </w:tcMar>
            <w:vAlign w:val="center"/>
          </w:tcPr>
          <w:p w14:paraId="33181334">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重度及以上污染天数比</w:t>
            </w:r>
            <w:r>
              <w:rPr>
                <w:rFonts w:hint="eastAsia" w:ascii="仿宋_GB2312" w:hAnsi="仿宋_GB2312" w:cs="仿宋_GB2312"/>
                <w:color w:val="000000"/>
                <w:kern w:val="0"/>
                <w:sz w:val="24"/>
                <w:szCs w:val="24"/>
                <w:lang w:val="en-US" w:eastAsia="zh-CN"/>
              </w:rPr>
              <w:t>例（</w:t>
            </w:r>
            <w:r>
              <w:rPr>
                <w:rFonts w:hint="eastAsia" w:ascii="仿宋_GB2312" w:hAnsi="仿宋_GB2312" w:eastAsia="仿宋_GB2312" w:cs="仿宋_GB2312"/>
                <w:color w:val="000000"/>
                <w:kern w:val="0"/>
                <w:sz w:val="24"/>
                <w:szCs w:val="24"/>
              </w:rPr>
              <w:t>%</w:t>
            </w:r>
            <w:r>
              <w:rPr>
                <w:rFonts w:hint="eastAsia" w:ascii="仿宋_GB2312" w:hAnsi="仿宋_GB2312" w:cs="仿宋_GB2312"/>
                <w:color w:val="000000"/>
                <w:kern w:val="0"/>
                <w:sz w:val="24"/>
                <w:szCs w:val="24"/>
                <w:lang w:eastAsia="zh-CN"/>
              </w:rPr>
              <w:t>）</w:t>
            </w:r>
          </w:p>
        </w:tc>
        <w:tc>
          <w:tcPr>
            <w:tcW w:w="1551" w:type="dxa"/>
            <w:noWrap w:val="0"/>
            <w:tcMar>
              <w:left w:w="108" w:type="dxa"/>
              <w:right w:w="108" w:type="dxa"/>
            </w:tcMar>
            <w:vAlign w:val="center"/>
          </w:tcPr>
          <w:p w14:paraId="531FEEBB">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default" w:ascii="仿宋_GB2312" w:hAnsi="Times New Roman" w:eastAsia="仿宋_GB2312" w:cs="Times New Roman"/>
                <w:sz w:val="24"/>
                <w:szCs w:val="24"/>
                <w:lang w:val="en-US" w:eastAsia="zh-CN"/>
              </w:rPr>
            </w:pPr>
            <w:r>
              <w:rPr>
                <w:rFonts w:hint="eastAsia" w:ascii="仿宋_GB2312" w:hAnsi="Times New Roman" w:cs="Times New Roman"/>
                <w:sz w:val="24"/>
                <w:szCs w:val="24"/>
                <w:lang w:val="en-US" w:eastAsia="zh-CN"/>
              </w:rPr>
              <w:t>0.3</w:t>
            </w:r>
          </w:p>
        </w:tc>
        <w:tc>
          <w:tcPr>
            <w:tcW w:w="1698" w:type="dxa"/>
            <w:noWrap w:val="0"/>
            <w:tcMar>
              <w:left w:w="108" w:type="dxa"/>
              <w:right w:w="108" w:type="dxa"/>
            </w:tcMar>
            <w:vAlign w:val="center"/>
          </w:tcPr>
          <w:p w14:paraId="5448FAB4">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Times New Roman" w:eastAsia="仿宋_GB2312" w:cs="Times New Roman"/>
                <w:sz w:val="24"/>
                <w:szCs w:val="24"/>
              </w:rPr>
            </w:pPr>
            <w:r>
              <w:rPr>
                <w:rFonts w:hint="eastAsia" w:ascii="仿宋_GB2312" w:hAnsi="Times New Roman" w:eastAsia="仿宋_GB2312" w:cs="Times New Roman"/>
                <w:sz w:val="24"/>
                <w:szCs w:val="24"/>
              </w:rPr>
              <w:t>完成省定目标</w:t>
            </w:r>
          </w:p>
        </w:tc>
        <w:tc>
          <w:tcPr>
            <w:tcW w:w="1183" w:type="dxa"/>
            <w:noWrap w:val="0"/>
            <w:tcMar>
              <w:left w:w="108" w:type="dxa"/>
              <w:right w:w="108" w:type="dxa"/>
            </w:tcMar>
            <w:vAlign w:val="center"/>
          </w:tcPr>
          <w:p w14:paraId="1E38F661">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预期性</w:t>
            </w:r>
          </w:p>
        </w:tc>
      </w:tr>
      <w:tr w14:paraId="6994B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noWrap w:val="0"/>
            <w:tcMar>
              <w:left w:w="108" w:type="dxa"/>
              <w:right w:w="108" w:type="dxa"/>
            </w:tcMar>
            <w:vAlign w:val="center"/>
          </w:tcPr>
          <w:p w14:paraId="60D58B4E">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sz w:val="24"/>
                <w:szCs w:val="24"/>
              </w:rPr>
            </w:pPr>
          </w:p>
        </w:tc>
        <w:tc>
          <w:tcPr>
            <w:tcW w:w="613" w:type="dxa"/>
            <w:noWrap w:val="0"/>
            <w:tcMar>
              <w:left w:w="108" w:type="dxa"/>
              <w:right w:w="108" w:type="dxa"/>
            </w:tcMar>
            <w:vAlign w:val="center"/>
          </w:tcPr>
          <w:p w14:paraId="3EFC6699">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cs="仿宋_GB2312"/>
                <w:color w:val="000000"/>
                <w:kern w:val="0"/>
                <w:sz w:val="24"/>
                <w:szCs w:val="24"/>
                <w:lang w:val="en-US" w:eastAsia="zh-CN"/>
              </w:rPr>
              <w:t>4</w:t>
            </w:r>
          </w:p>
        </w:tc>
        <w:tc>
          <w:tcPr>
            <w:tcW w:w="3097" w:type="dxa"/>
            <w:gridSpan w:val="2"/>
            <w:noWrap w:val="0"/>
            <w:tcMar>
              <w:left w:w="108" w:type="dxa"/>
              <w:right w:w="108" w:type="dxa"/>
            </w:tcMar>
            <w:vAlign w:val="center"/>
          </w:tcPr>
          <w:p w14:paraId="51B14D9D">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优良水体比例（%）</w:t>
            </w:r>
          </w:p>
        </w:tc>
        <w:tc>
          <w:tcPr>
            <w:tcW w:w="1551" w:type="dxa"/>
            <w:noWrap w:val="0"/>
            <w:tcMar>
              <w:left w:w="108" w:type="dxa"/>
              <w:right w:w="108" w:type="dxa"/>
            </w:tcMar>
            <w:vAlign w:val="center"/>
          </w:tcPr>
          <w:p w14:paraId="3DD92EB7">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ascii="仿宋_GB2312" w:hAnsi="Times New Roman" w:eastAsia="仿宋_GB2312" w:cs="Times New Roman"/>
                <w:sz w:val="24"/>
                <w:szCs w:val="24"/>
              </w:rPr>
            </w:pPr>
            <w:r>
              <w:rPr>
                <w:rFonts w:hint="eastAsia" w:ascii="仿宋_GB2312" w:hAnsi="Times New Roman" w:cs="Times New Roman"/>
                <w:sz w:val="24"/>
                <w:szCs w:val="24"/>
                <w:lang w:val="en-US" w:eastAsia="zh-CN"/>
              </w:rPr>
              <w:t>—</w:t>
            </w:r>
          </w:p>
        </w:tc>
        <w:tc>
          <w:tcPr>
            <w:tcW w:w="1698" w:type="dxa"/>
            <w:noWrap w:val="0"/>
            <w:tcMar>
              <w:left w:w="108" w:type="dxa"/>
              <w:right w:w="108" w:type="dxa"/>
            </w:tcMar>
            <w:vAlign w:val="center"/>
          </w:tcPr>
          <w:p w14:paraId="7A3F9A92">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default" w:ascii="仿宋_GB2312" w:hAnsi="Times New Roman" w:eastAsia="仿宋_GB2312" w:cs="Times New Roman"/>
                <w:sz w:val="24"/>
                <w:szCs w:val="24"/>
                <w:lang w:val="en-US" w:eastAsia="zh-CN"/>
              </w:rPr>
            </w:pPr>
            <w:r>
              <w:rPr>
                <w:rFonts w:hint="eastAsia" w:ascii="仿宋_GB2312" w:hAnsi="Times New Roman" w:cs="Times New Roman"/>
                <w:sz w:val="24"/>
                <w:szCs w:val="24"/>
                <w:lang w:val="en-US" w:eastAsia="zh-CN"/>
              </w:rPr>
              <w:t>88.6</w:t>
            </w:r>
          </w:p>
        </w:tc>
        <w:tc>
          <w:tcPr>
            <w:tcW w:w="1183" w:type="dxa"/>
            <w:noWrap w:val="0"/>
            <w:tcMar>
              <w:left w:w="108" w:type="dxa"/>
              <w:right w:w="108" w:type="dxa"/>
            </w:tcMar>
            <w:vAlign w:val="center"/>
          </w:tcPr>
          <w:p w14:paraId="6905B472">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b/>
                <w:bCs/>
                <w:color w:val="000000"/>
                <w:kern w:val="0"/>
                <w:sz w:val="24"/>
                <w:szCs w:val="24"/>
              </w:rPr>
              <w:t>约束性</w:t>
            </w:r>
          </w:p>
        </w:tc>
      </w:tr>
      <w:tr w14:paraId="5CFFD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noWrap w:val="0"/>
            <w:tcMar>
              <w:left w:w="108" w:type="dxa"/>
              <w:right w:w="108" w:type="dxa"/>
            </w:tcMar>
            <w:vAlign w:val="center"/>
          </w:tcPr>
          <w:p w14:paraId="7C4A9F65">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sz w:val="24"/>
                <w:szCs w:val="24"/>
              </w:rPr>
            </w:pPr>
          </w:p>
        </w:tc>
        <w:tc>
          <w:tcPr>
            <w:tcW w:w="613" w:type="dxa"/>
            <w:noWrap w:val="0"/>
            <w:tcMar>
              <w:left w:w="108" w:type="dxa"/>
              <w:right w:w="108" w:type="dxa"/>
            </w:tcMar>
            <w:vAlign w:val="center"/>
          </w:tcPr>
          <w:p w14:paraId="3CCFBAA4">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Cambria" w:eastAsia="仿宋_GB2312" w:cs="仿宋_GB2312"/>
                <w:color w:val="000000"/>
                <w:kern w:val="0"/>
                <w:sz w:val="24"/>
                <w:szCs w:val="24"/>
                <w:lang w:val="en-US" w:eastAsia="zh-CN"/>
              </w:rPr>
            </w:pPr>
            <w:r>
              <w:rPr>
                <w:rFonts w:hint="eastAsia" w:ascii="仿宋_GB2312" w:hAnsi="Cambria" w:cs="仿宋_GB2312"/>
                <w:color w:val="000000"/>
                <w:kern w:val="0"/>
                <w:sz w:val="24"/>
                <w:szCs w:val="24"/>
                <w:lang w:val="en-US" w:eastAsia="zh-CN"/>
              </w:rPr>
              <w:t>5</w:t>
            </w:r>
          </w:p>
        </w:tc>
        <w:tc>
          <w:tcPr>
            <w:tcW w:w="3097" w:type="dxa"/>
            <w:gridSpan w:val="2"/>
            <w:noWrap w:val="0"/>
            <w:tcMar>
              <w:left w:w="108" w:type="dxa"/>
              <w:right w:w="108" w:type="dxa"/>
            </w:tcMar>
            <w:vAlign w:val="center"/>
          </w:tcPr>
          <w:p w14:paraId="04D7C8E1">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ascii="仿宋_GB2312" w:hAnsi="Cambria" w:eastAsia="仿宋_GB2312" w:cs="仿宋_GB2312"/>
                <w:color w:val="000000"/>
                <w:kern w:val="0"/>
                <w:sz w:val="24"/>
                <w:szCs w:val="24"/>
              </w:rPr>
            </w:pPr>
            <w:r>
              <w:rPr>
                <w:rFonts w:hint="eastAsia" w:ascii="仿宋_GB2312" w:hAnsi="Cambria" w:eastAsia="仿宋_GB2312" w:cs="仿宋_GB2312"/>
                <w:color w:val="000000"/>
                <w:kern w:val="0"/>
                <w:sz w:val="24"/>
                <w:szCs w:val="24"/>
              </w:rPr>
              <w:t>地表水达到或好于</w:t>
            </w:r>
            <w:r>
              <w:rPr>
                <w:rFonts w:hint="eastAsia" w:ascii="仿宋_GB2312" w:hAnsi="Times New Roman" w:eastAsia="仿宋_GB2312" w:cs="Times New Roman"/>
                <w:b w:val="0"/>
                <w:bCs/>
                <w:kern w:val="0"/>
                <w:sz w:val="24"/>
                <w:szCs w:val="24"/>
              </w:rPr>
              <w:t>Ⅲ</w:t>
            </w:r>
            <w:r>
              <w:rPr>
                <w:rFonts w:hint="eastAsia" w:ascii="仿宋_GB2312" w:hAnsi="Cambria" w:eastAsia="仿宋_GB2312" w:cs="仿宋_GB2312"/>
                <w:color w:val="000000"/>
                <w:kern w:val="0"/>
                <w:sz w:val="24"/>
                <w:szCs w:val="24"/>
              </w:rPr>
              <w:t>类水体比例</w:t>
            </w:r>
            <w:r>
              <w:rPr>
                <w:rFonts w:hint="eastAsia" w:ascii="仿宋_GB2312" w:hAnsi="仿宋_GB2312" w:eastAsia="仿宋_GB2312" w:cs="仿宋_GB2312"/>
                <w:color w:val="000000"/>
                <w:kern w:val="0"/>
                <w:sz w:val="24"/>
                <w:szCs w:val="24"/>
              </w:rPr>
              <w:t>（%）</w:t>
            </w:r>
          </w:p>
        </w:tc>
        <w:tc>
          <w:tcPr>
            <w:tcW w:w="1551" w:type="dxa"/>
            <w:noWrap w:val="0"/>
            <w:tcMar>
              <w:left w:w="108" w:type="dxa"/>
              <w:right w:w="108" w:type="dxa"/>
            </w:tcMar>
            <w:vAlign w:val="center"/>
          </w:tcPr>
          <w:p w14:paraId="0EFC834B">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default" w:ascii="仿宋_GB2312" w:hAnsi="Times New Roman" w:eastAsia="仿宋_GB2312" w:cs="Times New Roman"/>
                <w:sz w:val="24"/>
                <w:szCs w:val="24"/>
                <w:lang w:val="en-US" w:eastAsia="zh-CN"/>
              </w:rPr>
            </w:pPr>
            <w:r>
              <w:rPr>
                <w:rFonts w:hint="eastAsia" w:ascii="仿宋_GB2312" w:cs="Times New Roman"/>
                <w:sz w:val="24"/>
                <w:szCs w:val="24"/>
                <w:lang w:val="en-US" w:eastAsia="zh-CN"/>
              </w:rPr>
              <w:t>90.9</w:t>
            </w:r>
          </w:p>
        </w:tc>
        <w:tc>
          <w:tcPr>
            <w:tcW w:w="1698" w:type="dxa"/>
            <w:noWrap w:val="0"/>
            <w:tcMar>
              <w:left w:w="108" w:type="dxa"/>
              <w:right w:w="108" w:type="dxa"/>
            </w:tcMar>
            <w:vAlign w:val="center"/>
          </w:tcPr>
          <w:p w14:paraId="4C344473">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ascii="仿宋_GB2312" w:hAnsi="Times New Roman" w:eastAsia="仿宋_GB2312" w:cs="Times New Roman"/>
                <w:sz w:val="24"/>
                <w:szCs w:val="24"/>
              </w:rPr>
            </w:pPr>
            <w:r>
              <w:rPr>
                <w:rFonts w:hint="eastAsia" w:ascii="仿宋_GB2312" w:hAnsi="Times New Roman" w:eastAsia="仿宋_GB2312" w:cs="Times New Roman"/>
                <w:sz w:val="24"/>
                <w:szCs w:val="24"/>
              </w:rPr>
              <w:t>完成省定目标</w:t>
            </w:r>
          </w:p>
        </w:tc>
        <w:tc>
          <w:tcPr>
            <w:tcW w:w="1183" w:type="dxa"/>
            <w:noWrap w:val="0"/>
            <w:tcMar>
              <w:left w:w="108" w:type="dxa"/>
              <w:right w:w="108" w:type="dxa"/>
            </w:tcMar>
            <w:vAlign w:val="center"/>
          </w:tcPr>
          <w:p w14:paraId="6976180B">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预期性</w:t>
            </w:r>
          </w:p>
        </w:tc>
      </w:tr>
      <w:tr w14:paraId="7F395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noWrap w:val="0"/>
            <w:tcMar>
              <w:left w:w="108" w:type="dxa"/>
              <w:right w:w="108" w:type="dxa"/>
            </w:tcMar>
            <w:vAlign w:val="center"/>
          </w:tcPr>
          <w:p w14:paraId="27AD0D83">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sz w:val="24"/>
                <w:szCs w:val="24"/>
              </w:rPr>
            </w:pPr>
          </w:p>
        </w:tc>
        <w:tc>
          <w:tcPr>
            <w:tcW w:w="613" w:type="dxa"/>
            <w:noWrap w:val="0"/>
            <w:tcMar>
              <w:left w:w="108" w:type="dxa"/>
              <w:right w:w="108" w:type="dxa"/>
            </w:tcMar>
            <w:vAlign w:val="center"/>
          </w:tcPr>
          <w:p w14:paraId="38D45D1B">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cs="仿宋_GB2312"/>
                <w:color w:val="000000"/>
                <w:kern w:val="0"/>
                <w:sz w:val="24"/>
                <w:szCs w:val="24"/>
                <w:lang w:val="en-US" w:eastAsia="zh-CN"/>
              </w:rPr>
              <w:t>6</w:t>
            </w:r>
          </w:p>
        </w:tc>
        <w:tc>
          <w:tcPr>
            <w:tcW w:w="3097" w:type="dxa"/>
            <w:gridSpan w:val="2"/>
            <w:noWrap w:val="0"/>
            <w:tcMar>
              <w:left w:w="108" w:type="dxa"/>
              <w:right w:w="108" w:type="dxa"/>
            </w:tcMar>
            <w:vAlign w:val="center"/>
          </w:tcPr>
          <w:p w14:paraId="67963E53">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地下水优良水质比例（%）</w:t>
            </w:r>
          </w:p>
        </w:tc>
        <w:tc>
          <w:tcPr>
            <w:tcW w:w="1551" w:type="dxa"/>
            <w:noWrap w:val="0"/>
            <w:tcMar>
              <w:left w:w="108" w:type="dxa"/>
              <w:right w:w="108" w:type="dxa"/>
            </w:tcMar>
            <w:vAlign w:val="center"/>
          </w:tcPr>
          <w:p w14:paraId="6EC6B3F7">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ascii="仿宋_GB2312" w:hAnsi="Times New Roman" w:eastAsia="仿宋_GB2312" w:cs="Times New Roman"/>
                <w:sz w:val="24"/>
                <w:szCs w:val="24"/>
              </w:rPr>
            </w:pPr>
            <w:r>
              <w:rPr>
                <w:rFonts w:hint="eastAsia" w:ascii="仿宋_GB2312" w:hAnsi="Times New Roman" w:eastAsia="仿宋_GB2312" w:cs="Times New Roman"/>
                <w:sz w:val="24"/>
                <w:szCs w:val="24"/>
              </w:rPr>
              <w:t>100</w:t>
            </w:r>
          </w:p>
        </w:tc>
        <w:tc>
          <w:tcPr>
            <w:tcW w:w="1698" w:type="dxa"/>
            <w:noWrap w:val="0"/>
            <w:tcMar>
              <w:left w:w="108" w:type="dxa"/>
              <w:right w:w="108" w:type="dxa"/>
            </w:tcMar>
            <w:vAlign w:val="center"/>
          </w:tcPr>
          <w:p w14:paraId="60C8D5DA">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default" w:ascii="仿宋_GB2312" w:hAnsi="Times New Roman" w:eastAsia="仿宋_GB2312" w:cs="Times New Roman"/>
                <w:sz w:val="24"/>
                <w:szCs w:val="24"/>
                <w:lang w:val="en-US" w:eastAsia="zh-CN"/>
              </w:rPr>
            </w:pPr>
            <w:r>
              <w:rPr>
                <w:rFonts w:hint="eastAsia" w:ascii="仿宋_GB2312" w:cs="Times New Roman"/>
                <w:sz w:val="24"/>
                <w:szCs w:val="24"/>
                <w:lang w:val="en-US" w:eastAsia="zh-CN"/>
              </w:rPr>
              <w:t>100</w:t>
            </w:r>
          </w:p>
        </w:tc>
        <w:tc>
          <w:tcPr>
            <w:tcW w:w="1183" w:type="dxa"/>
            <w:noWrap w:val="0"/>
            <w:tcMar>
              <w:left w:w="108" w:type="dxa"/>
              <w:right w:w="108" w:type="dxa"/>
            </w:tcMar>
            <w:vAlign w:val="center"/>
          </w:tcPr>
          <w:p w14:paraId="2A5C9FC6">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kern w:val="0"/>
                <w:sz w:val="24"/>
                <w:szCs w:val="24"/>
                <w:lang w:eastAsia="zh-CN"/>
              </w:rPr>
            </w:pPr>
            <w:r>
              <w:rPr>
                <w:rFonts w:hint="eastAsia" w:ascii="仿宋_GB2312" w:hAnsi="仿宋_GB2312" w:cs="仿宋_GB2312"/>
                <w:color w:val="000000"/>
                <w:kern w:val="0"/>
                <w:sz w:val="24"/>
                <w:szCs w:val="24"/>
                <w:lang w:val="en-US" w:eastAsia="zh-CN"/>
              </w:rPr>
              <w:t>预期性</w:t>
            </w:r>
          </w:p>
        </w:tc>
      </w:tr>
      <w:tr w14:paraId="52E84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noWrap w:val="0"/>
            <w:tcMar>
              <w:left w:w="108" w:type="dxa"/>
              <w:right w:w="108" w:type="dxa"/>
            </w:tcMar>
            <w:vAlign w:val="center"/>
          </w:tcPr>
          <w:p w14:paraId="4CDE90BC">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sz w:val="24"/>
                <w:szCs w:val="24"/>
              </w:rPr>
            </w:pPr>
          </w:p>
        </w:tc>
        <w:tc>
          <w:tcPr>
            <w:tcW w:w="613" w:type="dxa"/>
            <w:noWrap w:val="0"/>
            <w:tcMar>
              <w:left w:w="108" w:type="dxa"/>
              <w:right w:w="108" w:type="dxa"/>
            </w:tcMar>
            <w:vAlign w:val="center"/>
          </w:tcPr>
          <w:p w14:paraId="4F71A089">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cs="仿宋_GB2312"/>
                <w:color w:val="000000"/>
                <w:kern w:val="0"/>
                <w:sz w:val="24"/>
                <w:szCs w:val="24"/>
                <w:lang w:val="en-US" w:eastAsia="zh-CN"/>
              </w:rPr>
              <w:t>7</w:t>
            </w:r>
          </w:p>
        </w:tc>
        <w:tc>
          <w:tcPr>
            <w:tcW w:w="3097" w:type="dxa"/>
            <w:gridSpan w:val="2"/>
            <w:noWrap w:val="0"/>
            <w:tcMar>
              <w:left w:w="108" w:type="dxa"/>
              <w:right w:w="108" w:type="dxa"/>
            </w:tcMar>
            <w:vAlign w:val="center"/>
          </w:tcPr>
          <w:p w14:paraId="277D322A">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农村生活污水治理率（%）</w:t>
            </w:r>
          </w:p>
        </w:tc>
        <w:tc>
          <w:tcPr>
            <w:tcW w:w="1551" w:type="dxa"/>
            <w:noWrap w:val="0"/>
            <w:tcMar>
              <w:left w:w="108" w:type="dxa"/>
              <w:right w:w="108" w:type="dxa"/>
            </w:tcMar>
            <w:vAlign w:val="center"/>
          </w:tcPr>
          <w:p w14:paraId="11CB610A">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default" w:ascii="仿宋_GB2312" w:hAnsi="Times New Roman" w:eastAsia="仿宋_GB2312" w:cs="Times New Roman"/>
                <w:sz w:val="24"/>
                <w:szCs w:val="24"/>
                <w:lang w:val="en-US" w:eastAsia="zh-CN"/>
              </w:rPr>
            </w:pPr>
            <w:r>
              <w:rPr>
                <w:rFonts w:hint="eastAsia" w:ascii="仿宋_GB2312" w:hAnsi="Times New Roman" w:cs="Times New Roman"/>
                <w:sz w:val="24"/>
                <w:szCs w:val="24"/>
                <w:lang w:val="en-US" w:eastAsia="zh-CN"/>
              </w:rPr>
              <w:t>50.9</w:t>
            </w:r>
          </w:p>
        </w:tc>
        <w:tc>
          <w:tcPr>
            <w:tcW w:w="1698" w:type="dxa"/>
            <w:noWrap w:val="0"/>
            <w:tcMar>
              <w:left w:w="108" w:type="dxa"/>
              <w:right w:w="108" w:type="dxa"/>
            </w:tcMar>
            <w:vAlign w:val="center"/>
          </w:tcPr>
          <w:p w14:paraId="302D30B8">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ascii="仿宋_GB2312" w:hAnsi="Times New Roman" w:eastAsia="仿宋_GB2312" w:cs="Times New Roman"/>
                <w:sz w:val="24"/>
                <w:szCs w:val="24"/>
              </w:rPr>
            </w:pPr>
            <w:r>
              <w:rPr>
                <w:rFonts w:hint="eastAsia" w:ascii="仿宋_GB2312" w:hAnsi="Times New Roman" w:eastAsia="仿宋_GB2312" w:cs="Times New Roman"/>
                <w:sz w:val="24"/>
                <w:szCs w:val="24"/>
              </w:rPr>
              <w:t>完成省定目标</w:t>
            </w:r>
          </w:p>
        </w:tc>
        <w:tc>
          <w:tcPr>
            <w:tcW w:w="1183" w:type="dxa"/>
            <w:noWrap w:val="0"/>
            <w:tcMar>
              <w:left w:w="108" w:type="dxa"/>
              <w:right w:w="108" w:type="dxa"/>
            </w:tcMar>
            <w:vAlign w:val="center"/>
          </w:tcPr>
          <w:p w14:paraId="428D54EF">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预期性</w:t>
            </w:r>
          </w:p>
        </w:tc>
      </w:tr>
      <w:tr w14:paraId="0F39C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noWrap w:val="0"/>
            <w:tcMar>
              <w:left w:w="108" w:type="dxa"/>
              <w:right w:w="108" w:type="dxa"/>
            </w:tcMar>
            <w:vAlign w:val="center"/>
          </w:tcPr>
          <w:p w14:paraId="7B498C0D">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sz w:val="24"/>
                <w:szCs w:val="24"/>
              </w:rPr>
            </w:pPr>
          </w:p>
        </w:tc>
        <w:tc>
          <w:tcPr>
            <w:tcW w:w="613" w:type="dxa"/>
            <w:noWrap w:val="0"/>
            <w:tcMar>
              <w:left w:w="108" w:type="dxa"/>
              <w:right w:w="108" w:type="dxa"/>
            </w:tcMar>
            <w:vAlign w:val="center"/>
          </w:tcPr>
          <w:p w14:paraId="687DF94A">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cs="仿宋_GB2312"/>
                <w:color w:val="000000"/>
                <w:kern w:val="0"/>
                <w:sz w:val="24"/>
                <w:szCs w:val="24"/>
                <w:lang w:val="en-US" w:eastAsia="zh-CN"/>
              </w:rPr>
              <w:t>8</w:t>
            </w:r>
          </w:p>
        </w:tc>
        <w:tc>
          <w:tcPr>
            <w:tcW w:w="3097" w:type="dxa"/>
            <w:gridSpan w:val="2"/>
            <w:noWrap w:val="0"/>
            <w:tcMar>
              <w:left w:w="108" w:type="dxa"/>
              <w:right w:w="108" w:type="dxa"/>
            </w:tcMar>
            <w:vAlign w:val="center"/>
          </w:tcPr>
          <w:p w14:paraId="1379DE3E">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声环境功能区夜间达标率（%）</w:t>
            </w:r>
          </w:p>
        </w:tc>
        <w:tc>
          <w:tcPr>
            <w:tcW w:w="1551" w:type="dxa"/>
            <w:noWrap w:val="0"/>
            <w:tcMar>
              <w:left w:w="108" w:type="dxa"/>
              <w:right w:w="108" w:type="dxa"/>
            </w:tcMar>
            <w:vAlign w:val="center"/>
          </w:tcPr>
          <w:p w14:paraId="0F5661D7">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default" w:ascii="仿宋_GB2312" w:hAnsi="Times New Roman" w:eastAsia="仿宋_GB2312" w:cs="Times New Roman"/>
                <w:sz w:val="24"/>
                <w:szCs w:val="24"/>
                <w:highlight w:val="none"/>
                <w:lang w:val="en-US" w:eastAsia="zh-CN"/>
              </w:rPr>
            </w:pPr>
            <w:r>
              <w:rPr>
                <w:rFonts w:hint="eastAsia" w:ascii="仿宋_GB2312" w:hAnsi="Times New Roman" w:cs="Times New Roman"/>
                <w:sz w:val="24"/>
                <w:szCs w:val="24"/>
                <w:lang w:val="en-US" w:eastAsia="zh-CN"/>
              </w:rPr>
              <w:t>—</w:t>
            </w:r>
          </w:p>
        </w:tc>
        <w:tc>
          <w:tcPr>
            <w:tcW w:w="1698" w:type="dxa"/>
            <w:noWrap w:val="0"/>
            <w:tcMar>
              <w:left w:w="108" w:type="dxa"/>
              <w:right w:w="108" w:type="dxa"/>
            </w:tcMar>
            <w:vAlign w:val="center"/>
          </w:tcPr>
          <w:p w14:paraId="3D515F0E">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ascii="仿宋_GB2312" w:hAnsi="Times New Roman" w:eastAsia="仿宋_GB2312" w:cs="Times New Roman"/>
                <w:sz w:val="24"/>
                <w:szCs w:val="24"/>
                <w:highlight w:val="none"/>
              </w:rPr>
            </w:pPr>
            <w:r>
              <w:rPr>
                <w:rFonts w:hint="eastAsia" w:ascii="仿宋_GB2312" w:hAnsi="Times New Roman" w:eastAsia="仿宋_GB2312" w:cs="Times New Roman"/>
                <w:sz w:val="24"/>
                <w:szCs w:val="24"/>
                <w:highlight w:val="none"/>
              </w:rPr>
              <w:t>85以上</w:t>
            </w:r>
          </w:p>
        </w:tc>
        <w:tc>
          <w:tcPr>
            <w:tcW w:w="1183" w:type="dxa"/>
            <w:noWrap w:val="0"/>
            <w:tcMar>
              <w:left w:w="108" w:type="dxa"/>
              <w:right w:w="108" w:type="dxa"/>
            </w:tcMar>
            <w:vAlign w:val="center"/>
          </w:tcPr>
          <w:p w14:paraId="162F03B7">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预期性</w:t>
            </w:r>
          </w:p>
        </w:tc>
      </w:tr>
      <w:tr w14:paraId="5E190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restart"/>
            <w:noWrap w:val="0"/>
            <w:tcMar>
              <w:left w:w="108" w:type="dxa"/>
              <w:right w:w="108" w:type="dxa"/>
            </w:tcMar>
            <w:vAlign w:val="center"/>
          </w:tcPr>
          <w:p w14:paraId="26678F44">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b/>
                <w:bCs/>
                <w:color w:val="000000"/>
                <w:kern w:val="0"/>
                <w:sz w:val="24"/>
                <w:szCs w:val="24"/>
              </w:rPr>
              <w:t>减污降碳协同</w:t>
            </w:r>
          </w:p>
        </w:tc>
        <w:tc>
          <w:tcPr>
            <w:tcW w:w="613" w:type="dxa"/>
            <w:noWrap w:val="0"/>
            <w:tcMar>
              <w:left w:w="108" w:type="dxa"/>
              <w:right w:w="108" w:type="dxa"/>
            </w:tcMar>
            <w:vAlign w:val="center"/>
          </w:tcPr>
          <w:p w14:paraId="30CAC07E">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cs="仿宋_GB2312"/>
                <w:color w:val="000000"/>
                <w:kern w:val="0"/>
                <w:sz w:val="24"/>
                <w:szCs w:val="24"/>
                <w:lang w:val="en-US" w:eastAsia="zh-CN"/>
              </w:rPr>
              <w:t>9</w:t>
            </w:r>
          </w:p>
        </w:tc>
        <w:tc>
          <w:tcPr>
            <w:tcW w:w="3097" w:type="dxa"/>
            <w:gridSpan w:val="2"/>
            <w:noWrap w:val="0"/>
            <w:tcMar>
              <w:left w:w="108" w:type="dxa"/>
              <w:right w:w="108" w:type="dxa"/>
            </w:tcMar>
            <w:vAlign w:val="center"/>
          </w:tcPr>
          <w:p w14:paraId="7E0A8802">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单位</w:t>
            </w:r>
            <w:r>
              <w:rPr>
                <w:rFonts w:hint="eastAsia" w:ascii="仿宋_GB2312" w:hAnsi="仿宋_GB2312" w:eastAsia="仿宋_GB2312" w:cs="仿宋_GB2312"/>
                <w:color w:val="000000"/>
                <w:kern w:val="0"/>
                <w:sz w:val="24"/>
                <w:szCs w:val="24"/>
                <w:lang w:val="en-US" w:eastAsia="zh-CN"/>
              </w:rPr>
              <w:t>地区</w:t>
            </w:r>
            <w:r>
              <w:rPr>
                <w:rFonts w:hint="eastAsia" w:ascii="仿宋_GB2312" w:hAnsi="仿宋_GB2312" w:eastAsia="仿宋_GB2312" w:cs="仿宋_GB2312"/>
                <w:color w:val="000000"/>
                <w:kern w:val="0"/>
                <w:sz w:val="24"/>
                <w:szCs w:val="24"/>
              </w:rPr>
              <w:t>生产总值二氧化碳排放降低（%）</w:t>
            </w:r>
          </w:p>
        </w:tc>
        <w:tc>
          <w:tcPr>
            <w:tcW w:w="1551" w:type="dxa"/>
            <w:noWrap w:val="0"/>
            <w:tcMar>
              <w:left w:w="108" w:type="dxa"/>
              <w:right w:w="108" w:type="dxa"/>
            </w:tcMar>
            <w:vAlign w:val="center"/>
          </w:tcPr>
          <w:p w14:paraId="5E35215B">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Times New Roman" w:eastAsia="仿宋_GB2312" w:cs="Times New Roman"/>
                <w:sz w:val="24"/>
                <w:szCs w:val="24"/>
                <w:lang w:val="en-US" w:eastAsia="zh-CN"/>
              </w:rPr>
            </w:pPr>
            <w:r>
              <w:rPr>
                <w:rFonts w:hint="eastAsia" w:ascii="仿宋_GB2312" w:hAnsi="仿宋_GB2312" w:eastAsia="仿宋_GB2312" w:cs="仿宋_GB2312"/>
                <w:sz w:val="24"/>
                <w:szCs w:val="24"/>
              </w:rPr>
              <w:t>〔</w:t>
            </w:r>
            <w:r>
              <w:rPr>
                <w:rFonts w:hint="eastAsia" w:ascii="仿宋_GB2312" w:hAnsi="Times New Roman" w:eastAsia="仿宋_GB2312" w:cs="Times New Roman"/>
                <w:sz w:val="24"/>
                <w:szCs w:val="24"/>
              </w:rPr>
              <w:t>19.</w:t>
            </w:r>
            <w:r>
              <w:rPr>
                <w:rFonts w:hint="eastAsia" w:ascii="仿宋_GB2312" w:hAnsi="Times New Roman" w:cs="Times New Roman"/>
                <w:sz w:val="24"/>
                <w:szCs w:val="24"/>
                <w:lang w:val="en-US" w:eastAsia="zh-CN"/>
              </w:rPr>
              <w:t>8</w:t>
            </w:r>
            <w:r>
              <w:rPr>
                <w:rFonts w:hint="eastAsia" w:ascii="仿宋_GB2312" w:hAnsi="仿宋_GB2312" w:eastAsia="仿宋_GB2312" w:cs="仿宋_GB2312"/>
                <w:sz w:val="24"/>
                <w:szCs w:val="24"/>
                <w:lang w:val="en-US" w:eastAsia="zh-CN"/>
              </w:rPr>
              <w:t>〕</w:t>
            </w:r>
          </w:p>
        </w:tc>
        <w:tc>
          <w:tcPr>
            <w:tcW w:w="1698" w:type="dxa"/>
            <w:noWrap w:val="0"/>
            <w:tcMar>
              <w:left w:w="108" w:type="dxa"/>
              <w:right w:w="108" w:type="dxa"/>
            </w:tcMar>
            <w:vAlign w:val="center"/>
          </w:tcPr>
          <w:p w14:paraId="486EC26C">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ascii="仿宋_GB2312" w:hAnsi="Times New Roman" w:eastAsia="仿宋_GB2312" w:cs="Times New Roman"/>
                <w:sz w:val="24"/>
                <w:szCs w:val="24"/>
              </w:rPr>
            </w:pPr>
            <w:r>
              <w:rPr>
                <w:rFonts w:hint="eastAsia" w:ascii="仿宋_GB2312" w:hAnsi="Times New Roman" w:eastAsia="仿宋_GB2312" w:cs="Times New Roman"/>
                <w:sz w:val="24"/>
                <w:szCs w:val="24"/>
              </w:rPr>
              <w:t>完成省定目标</w:t>
            </w:r>
          </w:p>
        </w:tc>
        <w:tc>
          <w:tcPr>
            <w:tcW w:w="1183" w:type="dxa"/>
            <w:noWrap w:val="0"/>
            <w:tcMar>
              <w:left w:w="108" w:type="dxa"/>
              <w:right w:w="108" w:type="dxa"/>
            </w:tcMar>
            <w:vAlign w:val="center"/>
          </w:tcPr>
          <w:p w14:paraId="75457F61">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b/>
                <w:bCs/>
                <w:color w:val="000000"/>
                <w:kern w:val="0"/>
                <w:sz w:val="24"/>
                <w:szCs w:val="24"/>
              </w:rPr>
              <w:t>约束性</w:t>
            </w:r>
          </w:p>
        </w:tc>
      </w:tr>
      <w:tr w14:paraId="15C4C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noWrap w:val="0"/>
            <w:tcMar>
              <w:left w:w="108" w:type="dxa"/>
              <w:right w:w="108" w:type="dxa"/>
            </w:tcMar>
            <w:vAlign w:val="center"/>
          </w:tcPr>
          <w:p w14:paraId="2AE6BDBE">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sz w:val="24"/>
                <w:szCs w:val="24"/>
              </w:rPr>
            </w:pPr>
          </w:p>
        </w:tc>
        <w:tc>
          <w:tcPr>
            <w:tcW w:w="613" w:type="dxa"/>
            <w:noWrap w:val="0"/>
            <w:tcMar>
              <w:left w:w="108" w:type="dxa"/>
              <w:right w:w="108" w:type="dxa"/>
            </w:tcMar>
            <w:vAlign w:val="center"/>
          </w:tcPr>
          <w:p w14:paraId="3AB7336D">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default" w:ascii="仿宋_GB2312" w:hAnsi="仿宋_GB2312" w:eastAsia="仿宋_GB2312" w:cs="仿宋_GB2312"/>
                <w:color w:val="000000"/>
                <w:kern w:val="0"/>
                <w:sz w:val="24"/>
                <w:szCs w:val="24"/>
                <w:lang w:val="en-US" w:eastAsia="zh-CN"/>
              </w:rPr>
            </w:pPr>
            <w:r>
              <w:rPr>
                <w:rFonts w:hint="eastAsia" w:ascii="仿宋_GB2312" w:hAnsi="仿宋_GB2312" w:cs="仿宋_GB2312"/>
                <w:color w:val="000000"/>
                <w:kern w:val="0"/>
                <w:sz w:val="24"/>
                <w:szCs w:val="24"/>
                <w:lang w:val="en-US" w:eastAsia="zh-CN"/>
              </w:rPr>
              <w:t>10</w:t>
            </w:r>
          </w:p>
        </w:tc>
        <w:tc>
          <w:tcPr>
            <w:tcW w:w="3097" w:type="dxa"/>
            <w:gridSpan w:val="2"/>
            <w:noWrap w:val="0"/>
            <w:tcMar>
              <w:left w:w="108" w:type="dxa"/>
              <w:right w:w="108" w:type="dxa"/>
            </w:tcMar>
            <w:vAlign w:val="center"/>
          </w:tcPr>
          <w:p w14:paraId="539DD6E2">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rPr>
              <w:t>非化石能源占能源消费</w:t>
            </w:r>
            <w:r>
              <w:rPr>
                <w:rFonts w:hint="eastAsia" w:ascii="仿宋_GB2312" w:hAnsi="仿宋_GB2312" w:cs="仿宋_GB2312"/>
                <w:color w:val="000000"/>
                <w:kern w:val="0"/>
                <w:sz w:val="24"/>
                <w:szCs w:val="24"/>
                <w:lang w:val="en-US" w:eastAsia="zh-CN"/>
              </w:rPr>
              <w:t>总量</w:t>
            </w:r>
            <w:r>
              <w:rPr>
                <w:rFonts w:hint="eastAsia" w:ascii="仿宋_GB2312" w:hAnsi="仿宋_GB2312" w:eastAsia="仿宋_GB2312" w:cs="仿宋_GB2312"/>
                <w:color w:val="000000"/>
                <w:kern w:val="0"/>
                <w:sz w:val="24"/>
                <w:szCs w:val="24"/>
              </w:rPr>
              <w:t>比重（%）</w:t>
            </w:r>
          </w:p>
        </w:tc>
        <w:tc>
          <w:tcPr>
            <w:tcW w:w="1551" w:type="dxa"/>
            <w:noWrap w:val="0"/>
            <w:tcMar>
              <w:left w:w="108" w:type="dxa"/>
              <w:right w:w="108" w:type="dxa"/>
            </w:tcMar>
            <w:vAlign w:val="center"/>
          </w:tcPr>
          <w:p w14:paraId="1AD2FAF3">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ascii="仿宋_GB2312" w:hAnsi="Times New Roman" w:eastAsia="仿宋_GB2312" w:cs="Times New Roman"/>
                <w:sz w:val="24"/>
                <w:szCs w:val="24"/>
              </w:rPr>
            </w:pPr>
            <w:r>
              <w:rPr>
                <w:rFonts w:hint="eastAsia" w:ascii="仿宋_GB2312" w:hAnsi="Times New Roman" w:cs="Times New Roman"/>
                <w:sz w:val="24"/>
                <w:szCs w:val="24"/>
                <w:lang w:val="en-US" w:eastAsia="zh-CN"/>
              </w:rPr>
              <w:t>—</w:t>
            </w:r>
          </w:p>
        </w:tc>
        <w:tc>
          <w:tcPr>
            <w:tcW w:w="1698" w:type="dxa"/>
            <w:noWrap w:val="0"/>
            <w:tcMar>
              <w:left w:w="108" w:type="dxa"/>
              <w:right w:w="108" w:type="dxa"/>
            </w:tcMar>
            <w:vAlign w:val="center"/>
          </w:tcPr>
          <w:p w14:paraId="2B1B3BC4">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ascii="仿宋_GB2312" w:hAnsi="Times New Roman" w:eastAsia="仿宋_GB2312" w:cs="Times New Roman"/>
                <w:sz w:val="24"/>
                <w:szCs w:val="24"/>
              </w:rPr>
            </w:pPr>
            <w:r>
              <w:rPr>
                <w:rFonts w:hint="eastAsia" w:ascii="仿宋_GB2312" w:hAnsi="Times New Roman" w:cs="Times New Roman"/>
                <w:sz w:val="24"/>
                <w:szCs w:val="24"/>
                <w:lang w:val="en-US" w:eastAsia="zh-CN"/>
              </w:rPr>
              <w:t>完成省定目标</w:t>
            </w:r>
          </w:p>
        </w:tc>
        <w:tc>
          <w:tcPr>
            <w:tcW w:w="1183" w:type="dxa"/>
            <w:noWrap w:val="0"/>
            <w:tcMar>
              <w:left w:w="108" w:type="dxa"/>
              <w:right w:w="108" w:type="dxa"/>
            </w:tcMar>
            <w:vAlign w:val="center"/>
          </w:tcPr>
          <w:p w14:paraId="5F0404B2">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b/>
                <w:bCs/>
                <w:color w:val="000000"/>
                <w:kern w:val="0"/>
                <w:sz w:val="24"/>
                <w:szCs w:val="24"/>
              </w:rPr>
              <w:t>约束性</w:t>
            </w:r>
          </w:p>
        </w:tc>
      </w:tr>
      <w:tr w14:paraId="44A2B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noWrap w:val="0"/>
            <w:tcMar>
              <w:left w:w="108" w:type="dxa"/>
              <w:right w:w="108" w:type="dxa"/>
            </w:tcMar>
            <w:vAlign w:val="center"/>
          </w:tcPr>
          <w:p w14:paraId="165FF39A">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sz w:val="24"/>
                <w:szCs w:val="24"/>
              </w:rPr>
            </w:pPr>
          </w:p>
        </w:tc>
        <w:tc>
          <w:tcPr>
            <w:tcW w:w="613" w:type="dxa"/>
            <w:vMerge w:val="restart"/>
            <w:noWrap w:val="0"/>
            <w:tcMar>
              <w:left w:w="108" w:type="dxa"/>
              <w:right w:w="108" w:type="dxa"/>
            </w:tcMar>
            <w:vAlign w:val="center"/>
          </w:tcPr>
          <w:p w14:paraId="56CD008D">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default" w:ascii="仿宋_GB2312" w:hAnsi="仿宋_GB2312" w:eastAsia="仿宋_GB2312" w:cs="仿宋_GB2312"/>
                <w:color w:val="000000"/>
                <w:kern w:val="0"/>
                <w:sz w:val="24"/>
                <w:szCs w:val="24"/>
                <w:lang w:val="en-US" w:eastAsia="zh-CN"/>
              </w:rPr>
            </w:pPr>
            <w:r>
              <w:rPr>
                <w:rFonts w:hint="eastAsia" w:ascii="仿宋_GB2312" w:hAnsi="仿宋_GB2312" w:cs="仿宋_GB2312"/>
                <w:color w:val="000000"/>
                <w:kern w:val="0"/>
                <w:sz w:val="24"/>
                <w:szCs w:val="24"/>
                <w:lang w:val="en-US" w:eastAsia="zh-CN"/>
              </w:rPr>
              <w:t>11</w:t>
            </w:r>
          </w:p>
        </w:tc>
        <w:tc>
          <w:tcPr>
            <w:tcW w:w="1213" w:type="dxa"/>
            <w:vMerge w:val="restart"/>
            <w:noWrap w:val="0"/>
            <w:tcMar>
              <w:left w:w="108" w:type="dxa"/>
              <w:right w:w="108" w:type="dxa"/>
            </w:tcMar>
            <w:vAlign w:val="center"/>
          </w:tcPr>
          <w:p w14:paraId="0DC3DFEB">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主要污染物重点工程减排量（吨）</w:t>
            </w:r>
          </w:p>
        </w:tc>
        <w:tc>
          <w:tcPr>
            <w:tcW w:w="1884" w:type="dxa"/>
            <w:noWrap w:val="0"/>
            <w:tcMar>
              <w:left w:w="108" w:type="dxa"/>
              <w:right w:w="108" w:type="dxa"/>
            </w:tcMar>
            <w:vAlign w:val="center"/>
          </w:tcPr>
          <w:p w14:paraId="11388D1A">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氮氧化物</w:t>
            </w:r>
          </w:p>
        </w:tc>
        <w:tc>
          <w:tcPr>
            <w:tcW w:w="1551" w:type="dxa"/>
            <w:noWrap w:val="0"/>
            <w:tcMar>
              <w:left w:w="108" w:type="dxa"/>
              <w:right w:w="108" w:type="dxa"/>
            </w:tcMar>
            <w:vAlign w:val="center"/>
          </w:tcPr>
          <w:p w14:paraId="13DCD678">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仿宋_GB2312" w:hAnsi="Times New Roman" w:eastAsia="仿宋_GB2312" w:cs="Times New Roman"/>
                <w:sz w:val="24"/>
                <w:szCs w:val="24"/>
                <w:lang w:val="en-US" w:eastAsia="zh-CN"/>
              </w:rPr>
            </w:pPr>
            <w:r>
              <w:rPr>
                <w:rFonts w:hint="eastAsia" w:ascii="仿宋_GB2312" w:hAnsi="仿宋_GB2312" w:eastAsia="仿宋_GB2312" w:cs="仿宋_GB2312"/>
                <w:color w:val="000000"/>
                <w:kern w:val="0"/>
                <w:sz w:val="24"/>
                <w:szCs w:val="32"/>
                <w:lang w:val="en-US" w:eastAsia="zh-CN" w:bidi="ar-SA"/>
              </w:rPr>
              <w:t>〔</w:t>
            </w:r>
            <w:r>
              <w:rPr>
                <w:rFonts w:hint="eastAsia" w:ascii="仿宋_GB2312" w:hAnsi="仿宋_GB2312" w:cs="仿宋_GB2312"/>
                <w:color w:val="000000"/>
                <w:kern w:val="0"/>
                <w:sz w:val="24"/>
                <w:szCs w:val="32"/>
                <w:lang w:val="en-US" w:eastAsia="zh-CN" w:bidi="ar-SA"/>
              </w:rPr>
              <w:t>8955.2</w:t>
            </w:r>
            <w:r>
              <w:rPr>
                <w:rFonts w:hint="eastAsia" w:ascii="仿宋_GB2312" w:hAnsi="仿宋_GB2312" w:eastAsia="仿宋_GB2312" w:cs="仿宋_GB2312"/>
                <w:color w:val="000000"/>
                <w:kern w:val="0"/>
                <w:sz w:val="24"/>
                <w:szCs w:val="32"/>
                <w:lang w:val="en-US" w:eastAsia="zh-CN" w:bidi="ar-SA"/>
              </w:rPr>
              <w:t>〕</w:t>
            </w:r>
          </w:p>
        </w:tc>
        <w:tc>
          <w:tcPr>
            <w:tcW w:w="1698" w:type="dxa"/>
            <w:noWrap w:val="0"/>
            <w:tcMar>
              <w:left w:w="108" w:type="dxa"/>
              <w:right w:w="108" w:type="dxa"/>
            </w:tcMar>
            <w:vAlign w:val="center"/>
          </w:tcPr>
          <w:p w14:paraId="46B2E331">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ascii="仿宋_GB2312" w:hAnsi="Times New Roman" w:eastAsia="仿宋_GB2312" w:cs="Times New Roman"/>
                <w:sz w:val="24"/>
                <w:szCs w:val="24"/>
              </w:rPr>
            </w:pPr>
            <w:r>
              <w:rPr>
                <w:rFonts w:hint="eastAsia" w:ascii="仿宋_GB2312" w:hAnsi="Times New Roman" w:eastAsia="仿宋_GB2312" w:cs="Times New Roman"/>
                <w:sz w:val="24"/>
                <w:szCs w:val="24"/>
              </w:rPr>
              <w:t>完成省定目标</w:t>
            </w:r>
          </w:p>
        </w:tc>
        <w:tc>
          <w:tcPr>
            <w:tcW w:w="1183" w:type="dxa"/>
            <w:vMerge w:val="restart"/>
            <w:noWrap w:val="0"/>
            <w:tcMar>
              <w:left w:w="108" w:type="dxa"/>
              <w:right w:w="108" w:type="dxa"/>
            </w:tcMar>
            <w:vAlign w:val="center"/>
          </w:tcPr>
          <w:p w14:paraId="5D547342">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b/>
                <w:bCs/>
                <w:color w:val="000000"/>
                <w:kern w:val="0"/>
                <w:sz w:val="24"/>
                <w:szCs w:val="24"/>
              </w:rPr>
              <w:t>约束性</w:t>
            </w:r>
          </w:p>
        </w:tc>
      </w:tr>
      <w:tr w14:paraId="67A13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noWrap w:val="0"/>
            <w:tcMar>
              <w:left w:w="108" w:type="dxa"/>
              <w:right w:w="108" w:type="dxa"/>
            </w:tcMar>
            <w:vAlign w:val="center"/>
          </w:tcPr>
          <w:p w14:paraId="1ED2A8E3">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sz w:val="24"/>
                <w:szCs w:val="24"/>
              </w:rPr>
            </w:pPr>
          </w:p>
        </w:tc>
        <w:tc>
          <w:tcPr>
            <w:tcW w:w="613" w:type="dxa"/>
            <w:vMerge w:val="continue"/>
            <w:noWrap w:val="0"/>
            <w:tcMar>
              <w:left w:w="108" w:type="dxa"/>
              <w:right w:w="108" w:type="dxa"/>
            </w:tcMar>
            <w:vAlign w:val="center"/>
          </w:tcPr>
          <w:p w14:paraId="5FCF2340">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sz w:val="24"/>
                <w:szCs w:val="24"/>
              </w:rPr>
            </w:pPr>
          </w:p>
        </w:tc>
        <w:tc>
          <w:tcPr>
            <w:tcW w:w="1213" w:type="dxa"/>
            <w:vMerge w:val="continue"/>
            <w:noWrap w:val="0"/>
            <w:tcMar>
              <w:left w:w="108" w:type="dxa"/>
              <w:right w:w="108" w:type="dxa"/>
            </w:tcMar>
            <w:vAlign w:val="center"/>
          </w:tcPr>
          <w:p w14:paraId="7765FC1E">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sz w:val="24"/>
                <w:szCs w:val="24"/>
              </w:rPr>
            </w:pPr>
          </w:p>
        </w:tc>
        <w:tc>
          <w:tcPr>
            <w:tcW w:w="1884" w:type="dxa"/>
            <w:noWrap w:val="0"/>
            <w:tcMar>
              <w:left w:w="108" w:type="dxa"/>
              <w:right w:w="108" w:type="dxa"/>
            </w:tcMar>
            <w:vAlign w:val="center"/>
          </w:tcPr>
          <w:p w14:paraId="791A2809">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挥发性有机物</w:t>
            </w:r>
          </w:p>
        </w:tc>
        <w:tc>
          <w:tcPr>
            <w:tcW w:w="1551" w:type="dxa"/>
            <w:noWrap w:val="0"/>
            <w:tcMar>
              <w:left w:w="108" w:type="dxa"/>
              <w:right w:w="108" w:type="dxa"/>
            </w:tcMar>
            <w:vAlign w:val="center"/>
          </w:tcPr>
          <w:p w14:paraId="3F66F22D">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仿宋_GB2312" w:hAnsi="Times New Roman" w:eastAsia="仿宋_GB2312" w:cs="Times New Roman"/>
                <w:sz w:val="24"/>
                <w:szCs w:val="24"/>
                <w:lang w:val="en-US" w:eastAsia="zh-CN"/>
              </w:rPr>
            </w:pPr>
            <w:r>
              <w:rPr>
                <w:rFonts w:hint="eastAsia" w:ascii="仿宋_GB2312" w:hAnsi="仿宋_GB2312" w:eastAsia="仿宋_GB2312" w:cs="仿宋_GB2312"/>
                <w:color w:val="000000"/>
                <w:kern w:val="0"/>
                <w:sz w:val="24"/>
                <w:szCs w:val="32"/>
                <w:lang w:val="en-US" w:eastAsia="zh-CN" w:bidi="ar-SA"/>
              </w:rPr>
              <w:t>〔</w:t>
            </w:r>
            <w:r>
              <w:rPr>
                <w:rFonts w:hint="eastAsia" w:ascii="仿宋_GB2312" w:cs="Times New Roman"/>
                <w:sz w:val="24"/>
                <w:szCs w:val="24"/>
                <w:lang w:val="en-US" w:eastAsia="zh-CN"/>
              </w:rPr>
              <w:t>1548.41</w:t>
            </w:r>
            <w:r>
              <w:rPr>
                <w:rFonts w:hint="eastAsia" w:ascii="仿宋_GB2312" w:hAnsi="仿宋_GB2312" w:eastAsia="仿宋_GB2312" w:cs="仿宋_GB2312"/>
                <w:color w:val="000000"/>
                <w:kern w:val="0"/>
                <w:sz w:val="24"/>
                <w:szCs w:val="32"/>
                <w:lang w:val="en-US" w:eastAsia="zh-CN" w:bidi="ar-SA"/>
              </w:rPr>
              <w:t>〕</w:t>
            </w:r>
          </w:p>
        </w:tc>
        <w:tc>
          <w:tcPr>
            <w:tcW w:w="1698" w:type="dxa"/>
            <w:noWrap w:val="0"/>
            <w:tcMar>
              <w:left w:w="108" w:type="dxa"/>
              <w:right w:w="108" w:type="dxa"/>
            </w:tcMar>
            <w:vAlign w:val="center"/>
          </w:tcPr>
          <w:p w14:paraId="1DE12031">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ascii="仿宋_GB2312" w:hAnsi="Times New Roman" w:eastAsia="仿宋_GB2312" w:cs="Times New Roman"/>
                <w:sz w:val="24"/>
                <w:szCs w:val="24"/>
              </w:rPr>
            </w:pPr>
            <w:r>
              <w:rPr>
                <w:rFonts w:hint="eastAsia" w:ascii="仿宋_GB2312" w:hAnsi="Times New Roman" w:eastAsia="仿宋_GB2312" w:cs="Times New Roman"/>
                <w:sz w:val="24"/>
                <w:szCs w:val="24"/>
              </w:rPr>
              <w:t>完成省定目标</w:t>
            </w:r>
          </w:p>
        </w:tc>
        <w:tc>
          <w:tcPr>
            <w:tcW w:w="1183" w:type="dxa"/>
            <w:vMerge w:val="continue"/>
            <w:noWrap w:val="0"/>
            <w:tcMar>
              <w:left w:w="108" w:type="dxa"/>
              <w:right w:w="108" w:type="dxa"/>
            </w:tcMar>
            <w:vAlign w:val="center"/>
          </w:tcPr>
          <w:p w14:paraId="4048EDEC">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kern w:val="0"/>
                <w:sz w:val="24"/>
                <w:szCs w:val="24"/>
              </w:rPr>
            </w:pPr>
          </w:p>
        </w:tc>
      </w:tr>
      <w:tr w14:paraId="013E8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noWrap w:val="0"/>
            <w:tcMar>
              <w:left w:w="108" w:type="dxa"/>
              <w:right w:w="108" w:type="dxa"/>
            </w:tcMar>
            <w:vAlign w:val="center"/>
          </w:tcPr>
          <w:p w14:paraId="7CE0BDFA">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sz w:val="24"/>
                <w:szCs w:val="24"/>
              </w:rPr>
            </w:pPr>
          </w:p>
        </w:tc>
        <w:tc>
          <w:tcPr>
            <w:tcW w:w="613" w:type="dxa"/>
            <w:vMerge w:val="continue"/>
            <w:noWrap w:val="0"/>
            <w:tcMar>
              <w:left w:w="108" w:type="dxa"/>
              <w:right w:w="108" w:type="dxa"/>
            </w:tcMar>
            <w:vAlign w:val="center"/>
          </w:tcPr>
          <w:p w14:paraId="5F606536">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sz w:val="24"/>
                <w:szCs w:val="24"/>
              </w:rPr>
            </w:pPr>
          </w:p>
        </w:tc>
        <w:tc>
          <w:tcPr>
            <w:tcW w:w="1213" w:type="dxa"/>
            <w:vMerge w:val="continue"/>
            <w:noWrap w:val="0"/>
            <w:tcMar>
              <w:left w:w="108" w:type="dxa"/>
              <w:right w:w="108" w:type="dxa"/>
            </w:tcMar>
            <w:vAlign w:val="center"/>
          </w:tcPr>
          <w:p w14:paraId="67B8C5B9">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sz w:val="24"/>
                <w:szCs w:val="24"/>
              </w:rPr>
            </w:pPr>
          </w:p>
        </w:tc>
        <w:tc>
          <w:tcPr>
            <w:tcW w:w="1884" w:type="dxa"/>
            <w:noWrap w:val="0"/>
            <w:tcMar>
              <w:left w:w="108" w:type="dxa"/>
              <w:right w:w="108" w:type="dxa"/>
            </w:tcMar>
            <w:vAlign w:val="center"/>
          </w:tcPr>
          <w:p w14:paraId="6CAEC9FD">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化学需氧量</w:t>
            </w:r>
          </w:p>
        </w:tc>
        <w:tc>
          <w:tcPr>
            <w:tcW w:w="1551" w:type="dxa"/>
            <w:noWrap w:val="0"/>
            <w:tcMar>
              <w:left w:w="108" w:type="dxa"/>
              <w:right w:w="108" w:type="dxa"/>
            </w:tcMar>
            <w:vAlign w:val="center"/>
          </w:tcPr>
          <w:p w14:paraId="27D22CD7">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仿宋_GB2312" w:hAnsi="Times New Roman" w:eastAsia="仿宋_GB2312" w:cs="Times New Roman"/>
                <w:sz w:val="24"/>
                <w:szCs w:val="24"/>
                <w:lang w:val="en-US" w:eastAsia="zh-CN"/>
              </w:rPr>
            </w:pPr>
            <w:r>
              <w:rPr>
                <w:rFonts w:hint="eastAsia" w:ascii="仿宋_GB2312" w:hAnsi="仿宋_GB2312" w:eastAsia="仿宋_GB2312" w:cs="仿宋_GB2312"/>
                <w:color w:val="000000"/>
                <w:kern w:val="0"/>
                <w:sz w:val="24"/>
                <w:szCs w:val="32"/>
                <w:lang w:val="en-US" w:eastAsia="zh-CN" w:bidi="ar-SA"/>
              </w:rPr>
              <w:t>〔</w:t>
            </w:r>
            <w:r>
              <w:rPr>
                <w:rFonts w:hint="eastAsia" w:ascii="仿宋_GB2312" w:hAnsi="仿宋_GB2312" w:cs="仿宋_GB2312"/>
                <w:color w:val="000000"/>
                <w:kern w:val="0"/>
                <w:sz w:val="24"/>
                <w:szCs w:val="32"/>
                <w:lang w:val="en-US" w:eastAsia="zh-CN" w:bidi="ar-SA"/>
              </w:rPr>
              <w:t>7632.88</w:t>
            </w:r>
            <w:r>
              <w:rPr>
                <w:rFonts w:hint="eastAsia" w:ascii="仿宋_GB2312" w:hAnsi="仿宋_GB2312" w:eastAsia="仿宋_GB2312" w:cs="仿宋_GB2312"/>
                <w:color w:val="000000"/>
                <w:kern w:val="0"/>
                <w:sz w:val="24"/>
                <w:szCs w:val="32"/>
                <w:lang w:val="en-US" w:eastAsia="zh-CN" w:bidi="ar-SA"/>
              </w:rPr>
              <w:t>〕</w:t>
            </w:r>
          </w:p>
        </w:tc>
        <w:tc>
          <w:tcPr>
            <w:tcW w:w="1698" w:type="dxa"/>
            <w:noWrap w:val="0"/>
            <w:tcMar>
              <w:left w:w="108" w:type="dxa"/>
              <w:right w:w="108" w:type="dxa"/>
            </w:tcMar>
            <w:vAlign w:val="center"/>
          </w:tcPr>
          <w:p w14:paraId="2C450802">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ascii="仿宋_GB2312" w:hAnsi="Times New Roman" w:eastAsia="仿宋_GB2312" w:cs="Times New Roman"/>
                <w:sz w:val="24"/>
                <w:szCs w:val="24"/>
              </w:rPr>
            </w:pPr>
            <w:r>
              <w:rPr>
                <w:rFonts w:hint="eastAsia" w:ascii="仿宋_GB2312" w:hAnsi="Times New Roman" w:eastAsia="仿宋_GB2312" w:cs="Times New Roman"/>
                <w:sz w:val="24"/>
                <w:szCs w:val="24"/>
              </w:rPr>
              <w:t>完成省定目标</w:t>
            </w:r>
          </w:p>
        </w:tc>
        <w:tc>
          <w:tcPr>
            <w:tcW w:w="1183" w:type="dxa"/>
            <w:vMerge w:val="continue"/>
            <w:noWrap w:val="0"/>
            <w:tcMar>
              <w:left w:w="108" w:type="dxa"/>
              <w:right w:w="108" w:type="dxa"/>
            </w:tcMar>
            <w:vAlign w:val="center"/>
          </w:tcPr>
          <w:p w14:paraId="14493956">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kern w:val="0"/>
                <w:sz w:val="24"/>
                <w:szCs w:val="24"/>
              </w:rPr>
            </w:pPr>
          </w:p>
        </w:tc>
      </w:tr>
      <w:tr w14:paraId="77792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noWrap w:val="0"/>
            <w:tcMar>
              <w:left w:w="108" w:type="dxa"/>
              <w:right w:w="108" w:type="dxa"/>
            </w:tcMar>
            <w:vAlign w:val="center"/>
          </w:tcPr>
          <w:p w14:paraId="082047D5">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sz w:val="24"/>
                <w:szCs w:val="24"/>
              </w:rPr>
            </w:pPr>
          </w:p>
        </w:tc>
        <w:tc>
          <w:tcPr>
            <w:tcW w:w="613" w:type="dxa"/>
            <w:vMerge w:val="continue"/>
            <w:noWrap w:val="0"/>
            <w:tcMar>
              <w:left w:w="108" w:type="dxa"/>
              <w:right w:w="108" w:type="dxa"/>
            </w:tcMar>
            <w:vAlign w:val="center"/>
          </w:tcPr>
          <w:p w14:paraId="7FE7419F">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sz w:val="24"/>
                <w:szCs w:val="24"/>
              </w:rPr>
            </w:pPr>
          </w:p>
        </w:tc>
        <w:tc>
          <w:tcPr>
            <w:tcW w:w="1213" w:type="dxa"/>
            <w:vMerge w:val="continue"/>
            <w:noWrap w:val="0"/>
            <w:tcMar>
              <w:left w:w="108" w:type="dxa"/>
              <w:right w:w="108" w:type="dxa"/>
            </w:tcMar>
            <w:vAlign w:val="center"/>
          </w:tcPr>
          <w:p w14:paraId="4A76DED0">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sz w:val="24"/>
                <w:szCs w:val="24"/>
              </w:rPr>
            </w:pPr>
          </w:p>
        </w:tc>
        <w:tc>
          <w:tcPr>
            <w:tcW w:w="1884" w:type="dxa"/>
            <w:noWrap w:val="0"/>
            <w:tcMar>
              <w:left w:w="108" w:type="dxa"/>
              <w:right w:w="108" w:type="dxa"/>
            </w:tcMar>
            <w:vAlign w:val="center"/>
          </w:tcPr>
          <w:p w14:paraId="40188313">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总磷</w:t>
            </w:r>
          </w:p>
        </w:tc>
        <w:tc>
          <w:tcPr>
            <w:tcW w:w="1551" w:type="dxa"/>
            <w:noWrap w:val="0"/>
            <w:tcMar>
              <w:left w:w="108" w:type="dxa"/>
              <w:right w:w="108" w:type="dxa"/>
            </w:tcMar>
            <w:vAlign w:val="center"/>
          </w:tcPr>
          <w:p w14:paraId="082D23C8">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default" w:ascii="仿宋_GB2312" w:hAnsi="Times New Roman" w:eastAsia="仿宋_GB2312" w:cs="Times New Roman"/>
                <w:sz w:val="24"/>
                <w:szCs w:val="24"/>
                <w:lang w:val="en-US" w:eastAsia="zh-CN"/>
              </w:rPr>
            </w:pPr>
            <w:r>
              <w:rPr>
                <w:rFonts w:hint="eastAsia" w:ascii="仿宋_GB2312" w:hAnsi="仿宋_GB2312" w:eastAsia="仿宋_GB2312" w:cs="仿宋_GB2312"/>
                <w:color w:val="000000"/>
                <w:kern w:val="0"/>
                <w:sz w:val="24"/>
                <w:szCs w:val="32"/>
                <w:lang w:val="en-US" w:eastAsia="zh-CN" w:bidi="ar-SA"/>
              </w:rPr>
              <w:t>〔</w:t>
            </w:r>
            <w:r>
              <w:rPr>
                <w:rFonts w:hint="eastAsia" w:ascii="仿宋_GB2312" w:hAnsi="仿宋_GB2312" w:cs="仿宋_GB2312"/>
                <w:color w:val="000000"/>
                <w:kern w:val="0"/>
                <w:sz w:val="24"/>
                <w:szCs w:val="32"/>
                <w:lang w:val="en-US" w:eastAsia="zh-CN" w:bidi="ar-SA"/>
              </w:rPr>
              <w:t>124.57</w:t>
            </w:r>
            <w:r>
              <w:rPr>
                <w:rFonts w:hint="eastAsia" w:ascii="仿宋_GB2312" w:hAnsi="仿宋_GB2312" w:eastAsia="仿宋_GB2312" w:cs="仿宋_GB2312"/>
                <w:color w:val="000000"/>
                <w:kern w:val="0"/>
                <w:sz w:val="24"/>
                <w:szCs w:val="32"/>
                <w:lang w:val="en-US" w:eastAsia="zh-CN" w:bidi="ar-SA"/>
              </w:rPr>
              <w:t>〕</w:t>
            </w:r>
          </w:p>
        </w:tc>
        <w:tc>
          <w:tcPr>
            <w:tcW w:w="1698" w:type="dxa"/>
            <w:noWrap w:val="0"/>
            <w:tcMar>
              <w:left w:w="108" w:type="dxa"/>
              <w:right w:w="108" w:type="dxa"/>
            </w:tcMar>
            <w:vAlign w:val="center"/>
          </w:tcPr>
          <w:p w14:paraId="3BE2F74A">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ascii="仿宋_GB2312" w:hAnsi="Times New Roman" w:eastAsia="仿宋_GB2312" w:cs="Times New Roman"/>
                <w:sz w:val="24"/>
                <w:szCs w:val="24"/>
              </w:rPr>
            </w:pPr>
            <w:r>
              <w:rPr>
                <w:rFonts w:hint="eastAsia" w:ascii="仿宋_GB2312" w:hAnsi="Times New Roman" w:eastAsia="仿宋_GB2312" w:cs="Times New Roman"/>
                <w:sz w:val="24"/>
                <w:szCs w:val="24"/>
              </w:rPr>
              <w:t>完成省定目标</w:t>
            </w:r>
          </w:p>
        </w:tc>
        <w:tc>
          <w:tcPr>
            <w:tcW w:w="1183" w:type="dxa"/>
            <w:vMerge w:val="continue"/>
            <w:noWrap w:val="0"/>
            <w:tcMar>
              <w:left w:w="108" w:type="dxa"/>
              <w:right w:w="108" w:type="dxa"/>
            </w:tcMar>
            <w:vAlign w:val="center"/>
          </w:tcPr>
          <w:p w14:paraId="7D642ED2">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kern w:val="0"/>
                <w:sz w:val="24"/>
                <w:szCs w:val="24"/>
              </w:rPr>
            </w:pPr>
          </w:p>
        </w:tc>
      </w:tr>
      <w:tr w14:paraId="3DFD9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restart"/>
            <w:noWrap w:val="0"/>
            <w:tcMar>
              <w:left w:w="108" w:type="dxa"/>
              <w:right w:w="108" w:type="dxa"/>
            </w:tcMar>
            <w:vAlign w:val="center"/>
          </w:tcPr>
          <w:p w14:paraId="0B4B4012">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b/>
                <w:bCs/>
                <w:color w:val="000000"/>
                <w:kern w:val="0"/>
                <w:sz w:val="24"/>
                <w:szCs w:val="24"/>
              </w:rPr>
              <w:t>生态系统保护</w:t>
            </w:r>
          </w:p>
        </w:tc>
        <w:tc>
          <w:tcPr>
            <w:tcW w:w="613" w:type="dxa"/>
            <w:noWrap w:val="0"/>
            <w:tcMar>
              <w:left w:w="108" w:type="dxa"/>
              <w:right w:w="108" w:type="dxa"/>
            </w:tcMar>
            <w:vAlign w:val="center"/>
          </w:tcPr>
          <w:p w14:paraId="2D063E5B">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default" w:ascii="仿宋_GB2312" w:hAnsi="仿宋_GB2312" w:eastAsia="仿宋_GB2312" w:cs="仿宋_GB2312"/>
                <w:color w:val="000000"/>
                <w:kern w:val="0"/>
                <w:sz w:val="24"/>
                <w:szCs w:val="24"/>
                <w:lang w:val="en-US" w:eastAsia="zh-CN"/>
              </w:rPr>
            </w:pPr>
            <w:r>
              <w:rPr>
                <w:rFonts w:hint="eastAsia" w:ascii="仿宋_GB2312" w:hAnsi="仿宋_GB2312" w:cs="仿宋_GB2312"/>
                <w:color w:val="000000"/>
                <w:kern w:val="0"/>
                <w:sz w:val="24"/>
                <w:szCs w:val="24"/>
                <w:lang w:val="en-US" w:eastAsia="zh-CN"/>
              </w:rPr>
              <w:t>12</w:t>
            </w:r>
          </w:p>
        </w:tc>
        <w:tc>
          <w:tcPr>
            <w:tcW w:w="3097" w:type="dxa"/>
            <w:gridSpan w:val="2"/>
            <w:noWrap w:val="0"/>
            <w:tcMar>
              <w:left w:w="108" w:type="dxa"/>
              <w:right w:w="108" w:type="dxa"/>
            </w:tcMar>
            <w:vAlign w:val="center"/>
          </w:tcPr>
          <w:p w14:paraId="4D37884C">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生态质量指数（EQI）</w:t>
            </w:r>
          </w:p>
        </w:tc>
        <w:tc>
          <w:tcPr>
            <w:tcW w:w="1551" w:type="dxa"/>
            <w:noWrap w:val="0"/>
            <w:tcMar>
              <w:left w:w="108" w:type="dxa"/>
              <w:right w:w="108" w:type="dxa"/>
            </w:tcMar>
            <w:vAlign w:val="center"/>
          </w:tcPr>
          <w:p w14:paraId="7E3212A1">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default" w:ascii="仿宋_GB2312" w:hAnsi="Times New Roman" w:eastAsia="仿宋_GB2312" w:cs="Times New Roman"/>
                <w:sz w:val="24"/>
                <w:szCs w:val="24"/>
                <w:lang w:val="en-US" w:eastAsia="zh-CN"/>
              </w:rPr>
            </w:pPr>
            <w:r>
              <w:rPr>
                <w:rFonts w:hint="eastAsia" w:ascii="仿宋_GB2312" w:hAnsi="Times New Roman" w:eastAsia="仿宋_GB2312" w:cs="Times New Roman"/>
                <w:sz w:val="24"/>
                <w:szCs w:val="24"/>
              </w:rPr>
              <w:t>71.</w:t>
            </w:r>
            <w:r>
              <w:rPr>
                <w:rFonts w:hint="eastAsia" w:ascii="仿宋_GB2312" w:cs="Times New Roman"/>
                <w:sz w:val="24"/>
                <w:szCs w:val="24"/>
                <w:lang w:val="en-US" w:eastAsia="zh-CN"/>
              </w:rPr>
              <w:t>39</w:t>
            </w:r>
          </w:p>
        </w:tc>
        <w:tc>
          <w:tcPr>
            <w:tcW w:w="1698" w:type="dxa"/>
            <w:noWrap w:val="0"/>
            <w:tcMar>
              <w:left w:w="108" w:type="dxa"/>
              <w:right w:w="108" w:type="dxa"/>
            </w:tcMar>
            <w:vAlign w:val="center"/>
          </w:tcPr>
          <w:p w14:paraId="4F572E21">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Times New Roman" w:eastAsia="仿宋_GB2312" w:cs="Times New Roman"/>
                <w:sz w:val="24"/>
                <w:szCs w:val="24"/>
                <w:lang w:eastAsia="zh-CN"/>
              </w:rPr>
            </w:pPr>
            <w:r>
              <w:rPr>
                <w:rFonts w:hint="eastAsia" w:ascii="仿宋_GB2312" w:cs="Times New Roman"/>
                <w:sz w:val="24"/>
                <w:szCs w:val="24"/>
                <w:lang w:val="en-US" w:eastAsia="zh-CN"/>
              </w:rPr>
              <w:t>稳中向好</w:t>
            </w:r>
          </w:p>
        </w:tc>
        <w:tc>
          <w:tcPr>
            <w:tcW w:w="1183" w:type="dxa"/>
            <w:noWrap w:val="0"/>
            <w:tcMar>
              <w:left w:w="108" w:type="dxa"/>
              <w:right w:w="108" w:type="dxa"/>
            </w:tcMar>
            <w:vAlign w:val="center"/>
          </w:tcPr>
          <w:p w14:paraId="64D72A44">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预期性</w:t>
            </w:r>
          </w:p>
        </w:tc>
      </w:tr>
      <w:tr w14:paraId="6CCD6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noWrap w:val="0"/>
            <w:tcMar>
              <w:left w:w="108" w:type="dxa"/>
              <w:right w:w="108" w:type="dxa"/>
            </w:tcMar>
            <w:vAlign w:val="center"/>
          </w:tcPr>
          <w:p w14:paraId="0DE65625">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sz w:val="24"/>
                <w:szCs w:val="24"/>
              </w:rPr>
            </w:pPr>
          </w:p>
        </w:tc>
        <w:tc>
          <w:tcPr>
            <w:tcW w:w="613" w:type="dxa"/>
            <w:noWrap w:val="0"/>
            <w:tcMar>
              <w:left w:w="108" w:type="dxa"/>
              <w:right w:w="108" w:type="dxa"/>
            </w:tcMar>
            <w:vAlign w:val="center"/>
          </w:tcPr>
          <w:p w14:paraId="20F247CA">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default" w:ascii="仿宋_GB2312" w:hAnsi="仿宋_GB2312" w:eastAsia="仿宋_GB2312" w:cs="仿宋_GB2312"/>
                <w:color w:val="000000"/>
                <w:kern w:val="0"/>
                <w:sz w:val="24"/>
                <w:szCs w:val="24"/>
                <w:highlight w:val="none"/>
                <w:lang w:val="en-US" w:eastAsia="zh-CN"/>
              </w:rPr>
            </w:pPr>
            <w:r>
              <w:rPr>
                <w:rFonts w:hint="eastAsia" w:ascii="仿宋_GB2312" w:hAnsi="仿宋_GB2312" w:cs="仿宋_GB2312"/>
                <w:color w:val="000000"/>
                <w:kern w:val="0"/>
                <w:sz w:val="24"/>
                <w:szCs w:val="24"/>
                <w:highlight w:val="none"/>
                <w:lang w:val="en-US" w:eastAsia="zh-CN"/>
              </w:rPr>
              <w:t>13</w:t>
            </w:r>
          </w:p>
        </w:tc>
        <w:tc>
          <w:tcPr>
            <w:tcW w:w="3097" w:type="dxa"/>
            <w:gridSpan w:val="2"/>
            <w:noWrap w:val="0"/>
            <w:tcMar>
              <w:left w:w="108" w:type="dxa"/>
              <w:right w:w="108" w:type="dxa"/>
            </w:tcMar>
            <w:vAlign w:val="center"/>
          </w:tcPr>
          <w:p w14:paraId="279A42BB">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color w:val="000000"/>
                <w:kern w:val="0"/>
                <w:sz w:val="24"/>
                <w:szCs w:val="24"/>
                <w:highlight w:val="none"/>
              </w:rPr>
              <w:t>森林覆盖率（%）</w:t>
            </w:r>
          </w:p>
        </w:tc>
        <w:tc>
          <w:tcPr>
            <w:tcW w:w="1551" w:type="dxa"/>
            <w:noWrap w:val="0"/>
            <w:tcMar>
              <w:left w:w="108" w:type="dxa"/>
              <w:right w:w="108" w:type="dxa"/>
            </w:tcMar>
            <w:vAlign w:val="center"/>
          </w:tcPr>
          <w:p w14:paraId="3D037511">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default" w:ascii="仿宋_GB2312" w:hAnsi="Times New Roman" w:eastAsia="仿宋_GB2312" w:cs="Times New Roman"/>
                <w:sz w:val="24"/>
                <w:szCs w:val="24"/>
                <w:highlight w:val="none"/>
                <w:lang w:val="en-US" w:eastAsia="zh-CN"/>
              </w:rPr>
            </w:pPr>
            <w:r>
              <w:rPr>
                <w:rFonts w:hint="eastAsia" w:ascii="仿宋_GB2312" w:cs="Times New Roman"/>
                <w:sz w:val="24"/>
                <w:szCs w:val="24"/>
                <w:highlight w:val="none"/>
                <w:lang w:val="en-US" w:eastAsia="zh-CN"/>
              </w:rPr>
              <w:t>26.9</w:t>
            </w:r>
          </w:p>
        </w:tc>
        <w:tc>
          <w:tcPr>
            <w:tcW w:w="1698" w:type="dxa"/>
            <w:noWrap w:val="0"/>
            <w:tcMar>
              <w:left w:w="108" w:type="dxa"/>
              <w:right w:w="108" w:type="dxa"/>
            </w:tcMar>
            <w:vAlign w:val="center"/>
          </w:tcPr>
          <w:p w14:paraId="4E04AC41">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ascii="仿宋_GB2312" w:hAnsi="Times New Roman" w:eastAsia="仿宋_GB2312" w:cs="Times New Roman"/>
                <w:sz w:val="24"/>
                <w:szCs w:val="24"/>
                <w:highlight w:val="none"/>
              </w:rPr>
            </w:pPr>
            <w:r>
              <w:rPr>
                <w:rFonts w:hint="eastAsia" w:ascii="仿宋_GB2312" w:hAnsi="Times New Roman" w:eastAsia="仿宋_GB2312" w:cs="Times New Roman"/>
                <w:sz w:val="24"/>
                <w:szCs w:val="24"/>
              </w:rPr>
              <w:t>完成省定目标</w:t>
            </w:r>
          </w:p>
        </w:tc>
        <w:tc>
          <w:tcPr>
            <w:tcW w:w="1183" w:type="dxa"/>
            <w:noWrap w:val="0"/>
            <w:tcMar>
              <w:left w:w="108" w:type="dxa"/>
              <w:right w:w="108" w:type="dxa"/>
            </w:tcMar>
            <w:vAlign w:val="center"/>
          </w:tcPr>
          <w:p w14:paraId="007F9979">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b/>
                <w:bCs/>
                <w:color w:val="000000"/>
                <w:kern w:val="0"/>
                <w:sz w:val="24"/>
                <w:szCs w:val="24"/>
                <w:highlight w:val="none"/>
              </w:rPr>
              <w:t>约束性</w:t>
            </w:r>
          </w:p>
        </w:tc>
      </w:tr>
      <w:tr w14:paraId="16451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restart"/>
            <w:noWrap w:val="0"/>
            <w:tcMar>
              <w:left w:w="108" w:type="dxa"/>
              <w:right w:w="108" w:type="dxa"/>
            </w:tcMar>
            <w:vAlign w:val="center"/>
          </w:tcPr>
          <w:p w14:paraId="5B87708A">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b/>
                <w:bCs/>
                <w:color w:val="000000"/>
                <w:kern w:val="0"/>
                <w:sz w:val="24"/>
                <w:szCs w:val="24"/>
              </w:rPr>
              <w:t>环境风险防控</w:t>
            </w:r>
          </w:p>
        </w:tc>
        <w:tc>
          <w:tcPr>
            <w:tcW w:w="613" w:type="dxa"/>
            <w:noWrap w:val="0"/>
            <w:tcMar>
              <w:left w:w="108" w:type="dxa"/>
              <w:right w:w="108" w:type="dxa"/>
            </w:tcMar>
            <w:vAlign w:val="center"/>
          </w:tcPr>
          <w:p w14:paraId="53F0227C">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default" w:ascii="仿宋_GB2312" w:hAnsi="仿宋_GB2312" w:eastAsia="仿宋_GB2312" w:cs="仿宋_GB2312"/>
                <w:color w:val="000000"/>
                <w:kern w:val="0"/>
                <w:sz w:val="24"/>
                <w:szCs w:val="24"/>
                <w:lang w:val="en-US" w:eastAsia="zh-CN"/>
              </w:rPr>
            </w:pPr>
            <w:r>
              <w:rPr>
                <w:rFonts w:hint="eastAsia" w:ascii="仿宋_GB2312" w:hAnsi="仿宋_GB2312" w:cs="仿宋_GB2312"/>
                <w:color w:val="000000"/>
                <w:kern w:val="0"/>
                <w:sz w:val="24"/>
                <w:szCs w:val="24"/>
                <w:lang w:val="en-US" w:eastAsia="zh-CN"/>
              </w:rPr>
              <w:t>14</w:t>
            </w:r>
          </w:p>
        </w:tc>
        <w:tc>
          <w:tcPr>
            <w:tcW w:w="3097" w:type="dxa"/>
            <w:gridSpan w:val="2"/>
            <w:noWrap w:val="0"/>
            <w:tcMar>
              <w:left w:w="108" w:type="dxa"/>
              <w:right w:w="108" w:type="dxa"/>
            </w:tcMar>
            <w:vAlign w:val="center"/>
          </w:tcPr>
          <w:p w14:paraId="6F25134E">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建设用地安全利用</w:t>
            </w:r>
          </w:p>
        </w:tc>
        <w:tc>
          <w:tcPr>
            <w:tcW w:w="1551" w:type="dxa"/>
            <w:noWrap w:val="0"/>
            <w:tcMar>
              <w:left w:w="108" w:type="dxa"/>
              <w:right w:w="108" w:type="dxa"/>
            </w:tcMar>
            <w:vAlign w:val="center"/>
          </w:tcPr>
          <w:p w14:paraId="5932D2FD">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Times New Roman" w:eastAsia="仿宋_GB2312" w:cs="Times New Roman"/>
                <w:sz w:val="24"/>
                <w:szCs w:val="24"/>
                <w:highlight w:val="none"/>
                <w:lang w:eastAsia="zh-CN"/>
              </w:rPr>
            </w:pPr>
            <w:r>
              <w:rPr>
                <w:rFonts w:hint="eastAsia" w:ascii="仿宋_GB2312" w:hAnsi="Times New Roman" w:cs="Times New Roman"/>
                <w:sz w:val="24"/>
                <w:szCs w:val="24"/>
                <w:lang w:val="en-US" w:eastAsia="zh-CN"/>
              </w:rPr>
              <w:t>有效</w:t>
            </w:r>
            <w:r>
              <w:rPr>
                <w:rFonts w:hint="eastAsia" w:ascii="仿宋_GB2312" w:cs="Times New Roman"/>
                <w:sz w:val="24"/>
                <w:szCs w:val="24"/>
                <w:lang w:val="en-US" w:eastAsia="zh-CN"/>
              </w:rPr>
              <w:t>保障</w:t>
            </w:r>
          </w:p>
        </w:tc>
        <w:tc>
          <w:tcPr>
            <w:tcW w:w="1698" w:type="dxa"/>
            <w:noWrap w:val="0"/>
            <w:tcMar>
              <w:left w:w="108" w:type="dxa"/>
              <w:right w:w="108" w:type="dxa"/>
            </w:tcMar>
            <w:vAlign w:val="center"/>
          </w:tcPr>
          <w:p w14:paraId="52F30C16">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ascii="仿宋_GB2312" w:hAnsi="Times New Roman" w:eastAsia="仿宋_GB2312" w:cs="Times New Roman"/>
                <w:sz w:val="24"/>
                <w:szCs w:val="24"/>
                <w:highlight w:val="none"/>
              </w:rPr>
            </w:pPr>
            <w:r>
              <w:rPr>
                <w:rFonts w:hint="eastAsia" w:ascii="仿宋_GB2312" w:hAnsi="Times New Roman" w:cs="Times New Roman"/>
                <w:sz w:val="24"/>
                <w:szCs w:val="24"/>
                <w:lang w:val="en-US" w:eastAsia="zh-CN"/>
              </w:rPr>
              <w:t>全面</w:t>
            </w:r>
            <w:r>
              <w:rPr>
                <w:rFonts w:hint="eastAsia" w:ascii="仿宋_GB2312" w:cs="Times New Roman"/>
                <w:sz w:val="24"/>
                <w:szCs w:val="24"/>
                <w:lang w:val="en-US" w:eastAsia="zh-CN"/>
              </w:rPr>
              <w:t>保障</w:t>
            </w:r>
          </w:p>
        </w:tc>
        <w:tc>
          <w:tcPr>
            <w:tcW w:w="1183" w:type="dxa"/>
            <w:noWrap w:val="0"/>
            <w:tcMar>
              <w:left w:w="108" w:type="dxa"/>
              <w:right w:w="108" w:type="dxa"/>
            </w:tcMar>
            <w:vAlign w:val="center"/>
          </w:tcPr>
          <w:p w14:paraId="28C1AD8C">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color w:val="000000"/>
                <w:kern w:val="0"/>
                <w:sz w:val="24"/>
                <w:szCs w:val="24"/>
              </w:rPr>
              <w:t>预期性</w:t>
            </w:r>
          </w:p>
        </w:tc>
      </w:tr>
      <w:tr w14:paraId="38E40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018" w:type="dxa"/>
            <w:vMerge w:val="continue"/>
            <w:noWrap w:val="0"/>
            <w:tcMar>
              <w:left w:w="108" w:type="dxa"/>
              <w:right w:w="108" w:type="dxa"/>
            </w:tcMar>
            <w:vAlign w:val="center"/>
          </w:tcPr>
          <w:p w14:paraId="2BFCAF9C">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sz w:val="24"/>
                <w:szCs w:val="24"/>
              </w:rPr>
            </w:pPr>
          </w:p>
        </w:tc>
        <w:tc>
          <w:tcPr>
            <w:tcW w:w="613" w:type="dxa"/>
            <w:noWrap w:val="0"/>
            <w:tcMar>
              <w:left w:w="108" w:type="dxa"/>
              <w:right w:w="108" w:type="dxa"/>
            </w:tcMar>
            <w:vAlign w:val="center"/>
          </w:tcPr>
          <w:p w14:paraId="57CEC1B6">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default" w:ascii="仿宋_GB2312" w:hAnsi="仿宋_GB2312" w:eastAsia="仿宋_GB2312" w:cs="仿宋_GB2312"/>
                <w:color w:val="000000"/>
                <w:kern w:val="0"/>
                <w:sz w:val="24"/>
                <w:szCs w:val="24"/>
                <w:lang w:val="en-US" w:eastAsia="zh-CN"/>
              </w:rPr>
            </w:pPr>
            <w:r>
              <w:rPr>
                <w:rFonts w:hint="eastAsia" w:ascii="仿宋_GB2312" w:hAnsi="仿宋_GB2312" w:cs="仿宋_GB2312"/>
                <w:color w:val="000000"/>
                <w:kern w:val="0"/>
                <w:sz w:val="24"/>
                <w:szCs w:val="24"/>
                <w:lang w:val="en-US" w:eastAsia="zh-CN"/>
              </w:rPr>
              <w:t>15</w:t>
            </w:r>
          </w:p>
        </w:tc>
        <w:tc>
          <w:tcPr>
            <w:tcW w:w="3097" w:type="dxa"/>
            <w:gridSpan w:val="2"/>
            <w:noWrap w:val="0"/>
            <w:tcMar>
              <w:left w:w="108" w:type="dxa"/>
              <w:right w:w="108" w:type="dxa"/>
            </w:tcMar>
            <w:vAlign w:val="center"/>
          </w:tcPr>
          <w:p w14:paraId="13C82D97">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非法倾倒和非法处置固体废物事件发生率</w:t>
            </w:r>
          </w:p>
        </w:tc>
        <w:tc>
          <w:tcPr>
            <w:tcW w:w="1551" w:type="dxa"/>
            <w:noWrap w:val="0"/>
            <w:tcMar>
              <w:left w:w="108" w:type="dxa"/>
              <w:right w:w="108" w:type="dxa"/>
            </w:tcMar>
            <w:vAlign w:val="center"/>
          </w:tcPr>
          <w:p w14:paraId="0F8DFF7C">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default" w:ascii="仿宋_GB2312" w:hAnsi="Times New Roman" w:eastAsia="仿宋_GB2312" w:cs="Times New Roman"/>
                <w:sz w:val="24"/>
                <w:szCs w:val="24"/>
                <w:lang w:val="en-US" w:eastAsia="zh-CN"/>
              </w:rPr>
            </w:pPr>
            <w:r>
              <w:rPr>
                <w:rFonts w:hint="eastAsia" w:ascii="仿宋_GB2312" w:hAnsi="Times New Roman" w:cs="Times New Roman"/>
                <w:sz w:val="24"/>
                <w:szCs w:val="24"/>
                <w:lang w:val="en-US" w:eastAsia="zh-CN"/>
              </w:rPr>
              <w:t>—</w:t>
            </w:r>
          </w:p>
        </w:tc>
        <w:tc>
          <w:tcPr>
            <w:tcW w:w="1698" w:type="dxa"/>
            <w:noWrap w:val="0"/>
            <w:tcMar>
              <w:left w:w="108" w:type="dxa"/>
              <w:right w:w="108" w:type="dxa"/>
            </w:tcMar>
            <w:vAlign w:val="center"/>
          </w:tcPr>
          <w:p w14:paraId="1D745648">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ascii="仿宋_GB2312" w:hAnsi="Times New Roman" w:eastAsia="仿宋_GB2312" w:cs="Times New Roman"/>
                <w:sz w:val="24"/>
                <w:szCs w:val="24"/>
              </w:rPr>
            </w:pPr>
            <w:r>
              <w:rPr>
                <w:rFonts w:hint="eastAsia" w:ascii="仿宋_GB2312" w:hAnsi="Times New Roman" w:cs="Times New Roman"/>
                <w:sz w:val="24"/>
                <w:szCs w:val="24"/>
                <w:lang w:val="en-US" w:eastAsia="zh-CN"/>
              </w:rPr>
              <w:t>大幅</w:t>
            </w:r>
            <w:r>
              <w:rPr>
                <w:rFonts w:hint="eastAsia" w:ascii="仿宋_GB2312" w:cs="Times New Roman"/>
                <w:sz w:val="24"/>
                <w:szCs w:val="24"/>
                <w:lang w:val="en-US" w:eastAsia="zh-CN"/>
              </w:rPr>
              <w:t>降低</w:t>
            </w:r>
          </w:p>
        </w:tc>
        <w:tc>
          <w:tcPr>
            <w:tcW w:w="1183" w:type="dxa"/>
            <w:noWrap w:val="0"/>
            <w:tcMar>
              <w:left w:w="108" w:type="dxa"/>
              <w:right w:w="108" w:type="dxa"/>
            </w:tcMar>
            <w:vAlign w:val="center"/>
          </w:tcPr>
          <w:p w14:paraId="7C57AD31">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预期性</w:t>
            </w:r>
          </w:p>
        </w:tc>
      </w:tr>
      <w:tr w14:paraId="20D40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noWrap w:val="0"/>
            <w:tcMar>
              <w:left w:w="108" w:type="dxa"/>
              <w:right w:w="108" w:type="dxa"/>
            </w:tcMar>
            <w:vAlign w:val="center"/>
          </w:tcPr>
          <w:p w14:paraId="268E73DB">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sz w:val="24"/>
                <w:szCs w:val="24"/>
              </w:rPr>
            </w:pPr>
          </w:p>
        </w:tc>
        <w:tc>
          <w:tcPr>
            <w:tcW w:w="613" w:type="dxa"/>
            <w:noWrap w:val="0"/>
            <w:tcMar>
              <w:left w:w="108" w:type="dxa"/>
              <w:right w:w="108" w:type="dxa"/>
            </w:tcMar>
            <w:vAlign w:val="center"/>
          </w:tcPr>
          <w:p w14:paraId="67B52CA7">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default" w:ascii="仿宋_GB2312" w:hAnsi="仿宋_GB2312" w:eastAsia="仿宋_GB2312" w:cs="仿宋_GB2312"/>
                <w:color w:val="000000"/>
                <w:kern w:val="0"/>
                <w:sz w:val="24"/>
                <w:szCs w:val="24"/>
                <w:lang w:val="en-US" w:eastAsia="zh-CN"/>
              </w:rPr>
            </w:pPr>
            <w:r>
              <w:rPr>
                <w:rFonts w:hint="eastAsia" w:ascii="仿宋_GB2312" w:hAnsi="仿宋_GB2312" w:cs="仿宋_GB2312"/>
                <w:color w:val="000000"/>
                <w:kern w:val="0"/>
                <w:sz w:val="24"/>
                <w:szCs w:val="24"/>
                <w:lang w:val="en-US" w:eastAsia="zh-CN"/>
              </w:rPr>
              <w:t>16</w:t>
            </w:r>
          </w:p>
        </w:tc>
        <w:tc>
          <w:tcPr>
            <w:tcW w:w="3097" w:type="dxa"/>
            <w:gridSpan w:val="2"/>
            <w:noWrap w:val="0"/>
            <w:tcMar>
              <w:left w:w="108" w:type="dxa"/>
              <w:right w:w="108" w:type="dxa"/>
            </w:tcMar>
            <w:vAlign w:val="center"/>
          </w:tcPr>
          <w:p w14:paraId="16483C9E">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cs="仿宋_GB2312"/>
                <w:color w:val="000000"/>
                <w:kern w:val="0"/>
                <w:sz w:val="24"/>
                <w:szCs w:val="24"/>
              </w:rPr>
              <w:t>辐射安全与辐射环境优良指数（%</w:t>
            </w:r>
            <w:r>
              <w:rPr>
                <w:rFonts w:hint="eastAsia" w:ascii="仿宋_GB2312" w:hAnsi="仿宋_GB2312" w:eastAsia="仿宋_GB2312" w:cs="仿宋_GB2312"/>
                <w:color w:val="000000"/>
                <w:kern w:val="0"/>
                <w:sz w:val="24"/>
                <w:szCs w:val="24"/>
              </w:rPr>
              <w:t>）</w:t>
            </w:r>
          </w:p>
        </w:tc>
        <w:tc>
          <w:tcPr>
            <w:tcW w:w="1551" w:type="dxa"/>
            <w:noWrap w:val="0"/>
            <w:tcMar>
              <w:left w:w="108" w:type="dxa"/>
              <w:right w:w="108" w:type="dxa"/>
            </w:tcMar>
            <w:vAlign w:val="center"/>
          </w:tcPr>
          <w:p w14:paraId="009E216C">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ascii="仿宋_GB2312" w:hAnsi="Times New Roman" w:eastAsia="仿宋_GB2312" w:cs="Times New Roman"/>
                <w:sz w:val="24"/>
                <w:szCs w:val="24"/>
              </w:rPr>
            </w:pPr>
            <w:r>
              <w:rPr>
                <w:rFonts w:hint="eastAsia" w:ascii="仿宋_GB2312" w:hAnsi="Times New Roman" w:cs="Times New Roman"/>
                <w:sz w:val="24"/>
                <w:szCs w:val="24"/>
                <w:lang w:val="en-US" w:eastAsia="zh-CN"/>
              </w:rPr>
              <w:t>—</w:t>
            </w:r>
          </w:p>
        </w:tc>
        <w:tc>
          <w:tcPr>
            <w:tcW w:w="1698" w:type="dxa"/>
            <w:noWrap w:val="0"/>
            <w:tcMar>
              <w:left w:w="108" w:type="dxa"/>
              <w:right w:w="108" w:type="dxa"/>
            </w:tcMar>
            <w:vAlign w:val="center"/>
          </w:tcPr>
          <w:p w14:paraId="199B3B8B">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Times New Roman" w:eastAsia="仿宋_GB2312" w:cs="Times New Roman"/>
                <w:sz w:val="24"/>
                <w:szCs w:val="24"/>
                <w:lang w:val="en-US" w:eastAsia="zh-CN"/>
              </w:rPr>
            </w:pPr>
            <w:r>
              <w:rPr>
                <w:rFonts w:hint="eastAsia" w:ascii="仿宋_GB2312" w:hAnsi="Times New Roman" w:eastAsia="仿宋_GB2312" w:cs="Times New Roman"/>
                <w:sz w:val="24"/>
                <w:szCs w:val="24"/>
              </w:rPr>
              <w:t>完成省定目标</w:t>
            </w:r>
          </w:p>
        </w:tc>
        <w:tc>
          <w:tcPr>
            <w:tcW w:w="1183" w:type="dxa"/>
            <w:noWrap w:val="0"/>
            <w:tcMar>
              <w:left w:w="108" w:type="dxa"/>
              <w:right w:w="108" w:type="dxa"/>
            </w:tcMar>
            <w:vAlign w:val="center"/>
          </w:tcPr>
          <w:p w14:paraId="403DA3C6">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highlight w:val="none"/>
              </w:rPr>
              <w:t>预期性</w:t>
            </w:r>
          </w:p>
        </w:tc>
      </w:tr>
      <w:tr w14:paraId="05768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noWrap w:val="0"/>
            <w:tcMar>
              <w:left w:w="108" w:type="dxa"/>
              <w:right w:w="108" w:type="dxa"/>
            </w:tcMar>
            <w:vAlign w:val="center"/>
          </w:tcPr>
          <w:p w14:paraId="13260E0E">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cs="仿宋_GB2312"/>
                <w:sz w:val="24"/>
                <w:szCs w:val="24"/>
                <w:lang w:val="en-US" w:eastAsia="zh-CN"/>
              </w:rPr>
            </w:pPr>
            <w:r>
              <w:rPr>
                <w:rFonts w:hint="eastAsia" w:ascii="仿宋_GB2312" w:hAnsi="仿宋_GB2312" w:eastAsia="仿宋_GB2312" w:cs="仿宋_GB2312"/>
                <w:b/>
                <w:bCs/>
                <w:color w:val="000000"/>
                <w:kern w:val="0"/>
                <w:sz w:val="24"/>
                <w:szCs w:val="24"/>
                <w:lang w:val="en-US" w:eastAsia="zh-CN"/>
              </w:rPr>
              <w:t>美丽系列建设</w:t>
            </w:r>
          </w:p>
        </w:tc>
        <w:tc>
          <w:tcPr>
            <w:tcW w:w="613" w:type="dxa"/>
            <w:noWrap w:val="0"/>
            <w:tcMar>
              <w:left w:w="108" w:type="dxa"/>
              <w:right w:w="108" w:type="dxa"/>
            </w:tcMar>
            <w:vAlign w:val="center"/>
          </w:tcPr>
          <w:p w14:paraId="25E90F02">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cs="仿宋_GB2312"/>
                <w:color w:val="000000"/>
                <w:kern w:val="0"/>
                <w:sz w:val="24"/>
                <w:szCs w:val="24"/>
                <w:lang w:val="en-US" w:eastAsia="zh-CN"/>
              </w:rPr>
            </w:pPr>
            <w:r>
              <w:rPr>
                <w:rFonts w:hint="eastAsia" w:ascii="仿宋_GB2312" w:hAnsi="仿宋_GB2312" w:cs="仿宋_GB2312"/>
                <w:color w:val="000000"/>
                <w:kern w:val="0"/>
                <w:sz w:val="24"/>
                <w:szCs w:val="24"/>
                <w:lang w:val="en-US" w:eastAsia="zh-CN"/>
              </w:rPr>
              <w:t>17</w:t>
            </w:r>
          </w:p>
        </w:tc>
        <w:tc>
          <w:tcPr>
            <w:tcW w:w="3097" w:type="dxa"/>
            <w:gridSpan w:val="2"/>
            <w:noWrap w:val="0"/>
            <w:tcMar>
              <w:left w:w="108" w:type="dxa"/>
              <w:right w:w="108" w:type="dxa"/>
            </w:tcMar>
            <w:vAlign w:val="center"/>
          </w:tcPr>
          <w:p w14:paraId="1D63C395">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cs="仿宋_GB2312"/>
                <w:color w:val="000000"/>
                <w:kern w:val="0"/>
                <w:sz w:val="24"/>
                <w:szCs w:val="24"/>
              </w:rPr>
            </w:pPr>
            <w:r>
              <w:rPr>
                <w:rFonts w:hint="eastAsia" w:ascii="仿宋_GB2312" w:hAnsi="仿宋_GB2312" w:cs="仿宋_GB2312"/>
                <w:color w:val="000000"/>
                <w:kern w:val="0"/>
                <w:sz w:val="24"/>
                <w:szCs w:val="24"/>
              </w:rPr>
              <w:t>美丽河湖建成率（%）</w:t>
            </w:r>
          </w:p>
        </w:tc>
        <w:tc>
          <w:tcPr>
            <w:tcW w:w="1551" w:type="dxa"/>
            <w:noWrap w:val="0"/>
            <w:tcMar>
              <w:left w:w="108" w:type="dxa"/>
              <w:right w:w="108" w:type="dxa"/>
            </w:tcMar>
            <w:vAlign w:val="center"/>
          </w:tcPr>
          <w:p w14:paraId="3F2F518C">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Times New Roman" w:cs="Times New Roman"/>
                <w:sz w:val="24"/>
                <w:szCs w:val="24"/>
                <w:lang w:val="en-US" w:eastAsia="zh-CN"/>
              </w:rPr>
            </w:pPr>
            <w:r>
              <w:rPr>
                <w:rFonts w:hint="eastAsia" w:ascii="仿宋_GB2312" w:hAnsi="Times New Roman" w:cs="Times New Roman"/>
                <w:sz w:val="24"/>
                <w:szCs w:val="24"/>
                <w:lang w:val="en-US" w:eastAsia="zh-CN"/>
              </w:rPr>
              <w:t>—</w:t>
            </w:r>
          </w:p>
        </w:tc>
        <w:tc>
          <w:tcPr>
            <w:tcW w:w="1698" w:type="dxa"/>
            <w:noWrap w:val="0"/>
            <w:tcMar>
              <w:left w:w="108" w:type="dxa"/>
              <w:right w:w="108" w:type="dxa"/>
            </w:tcMar>
            <w:vAlign w:val="center"/>
          </w:tcPr>
          <w:p w14:paraId="017B3BE1">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Times New Roman" w:eastAsia="仿宋_GB2312" w:cs="Times New Roman"/>
                <w:sz w:val="24"/>
                <w:szCs w:val="24"/>
              </w:rPr>
            </w:pPr>
            <w:r>
              <w:rPr>
                <w:rFonts w:hint="eastAsia" w:ascii="仿宋_GB2312" w:cs="Times New Roman"/>
                <w:sz w:val="24"/>
                <w:szCs w:val="24"/>
                <w:lang w:val="en-US" w:eastAsia="zh-CN"/>
              </w:rPr>
              <w:t>65</w:t>
            </w:r>
          </w:p>
        </w:tc>
        <w:tc>
          <w:tcPr>
            <w:tcW w:w="1183" w:type="dxa"/>
            <w:noWrap w:val="0"/>
            <w:tcMar>
              <w:left w:w="108" w:type="dxa"/>
              <w:right w:w="108" w:type="dxa"/>
            </w:tcMar>
            <w:vAlign w:val="center"/>
          </w:tcPr>
          <w:p w14:paraId="01E5540E">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预期性</w:t>
            </w:r>
          </w:p>
        </w:tc>
      </w:tr>
    </w:tbl>
    <w:p w14:paraId="06957D68">
      <w:pPr>
        <w:pStyle w:val="8"/>
        <w:spacing w:before="25" w:line="236" w:lineRule="auto"/>
        <w:ind w:left="81" w:leftChars="0" w:hanging="81" w:hangingChars="34"/>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注：1. “</w:t>
      </w:r>
      <w:r>
        <w:rPr>
          <w:rFonts w:hint="eastAsia" w:ascii="仿宋_GB2312" w:hAnsi="Times New Roman" w:cs="Times New Roman"/>
          <w:sz w:val="24"/>
          <w:lang w:val="en-US" w:eastAsia="zh-CN"/>
        </w:rPr>
        <w:t>—</w:t>
      </w:r>
      <w:r>
        <w:rPr>
          <w:rFonts w:hint="eastAsia" w:ascii="仿宋_GB2312" w:hAnsi="仿宋_GB2312" w:eastAsia="仿宋_GB2312" w:cs="仿宋_GB2312"/>
          <w:color w:val="000000"/>
          <w:kern w:val="0"/>
          <w:sz w:val="24"/>
          <w:szCs w:val="32"/>
          <w:lang w:val="en-US" w:eastAsia="zh-CN" w:bidi="ar-SA"/>
        </w:rPr>
        <w:t>”：暂无统计数据；2.“〔〕”：5年累计值。</w:t>
      </w:r>
      <w:bookmarkStart w:id="1" w:name="_Toc32137"/>
      <w:bookmarkStart w:id="2" w:name="_Toc7485"/>
      <w:bookmarkStart w:id="3" w:name="_Toc19721"/>
    </w:p>
    <w:p w14:paraId="7EDE3A75">
      <w:pPr>
        <w:pStyle w:val="15"/>
        <w:keepNext w:val="0"/>
        <w:keepLines w:val="0"/>
        <w:widowControl/>
        <w:suppressLineNumbers w:val="0"/>
        <w:spacing w:before="0" w:beforeAutospacing="0" w:after="0" w:afterAutospacing="0" w:line="560" w:lineRule="exact"/>
        <w:ind w:left="0" w:right="0" w:firstLine="420"/>
        <w:jc w:val="both"/>
        <w:rPr>
          <w:rFonts w:hint="eastAsia" w:ascii="Times New Roman" w:hAnsi="Times New Roman" w:eastAsia="仿宋_GB2312" w:cs="仿宋_GB2312"/>
          <w:kern w:val="2"/>
          <w:sz w:val="32"/>
          <w:szCs w:val="32"/>
          <w:highlight w:val="none"/>
          <w:lang w:val="en-US" w:eastAsia="zh-CN" w:bidi="ar"/>
        </w:rPr>
      </w:pPr>
      <w:r>
        <w:rPr>
          <w:rFonts w:hint="eastAsia" w:ascii="Times New Roman" w:hAnsi="Times New Roman" w:eastAsia="仿宋_GB2312" w:cs="仿宋_GB2312"/>
          <w:kern w:val="2"/>
          <w:sz w:val="32"/>
          <w:szCs w:val="32"/>
          <w:highlight w:val="none"/>
          <w:lang w:val="en-US" w:eastAsia="zh-CN" w:bidi="ar"/>
        </w:rPr>
        <w:t>坚持和加强党对生态文明建设的全面领导，恪守环保为民理念，以生态环境高水平保护支撑经济社会高质量发展，系统谋划、加快形成美丽黄石建设总体布局。</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68668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8296" w:type="dxa"/>
            <w:noWrap w:val="0"/>
            <w:vAlign w:val="top"/>
          </w:tcPr>
          <w:p w14:paraId="1F1BA47B">
            <w:pPr>
              <w:widowControl/>
              <w:adjustRightInd w:val="0"/>
              <w:spacing w:line="240" w:lineRule="auto"/>
              <w:ind w:firstLine="0" w:firstLineChars="0"/>
              <w:jc w:val="center"/>
              <w:rPr>
                <w:rFonts w:hint="default" w:ascii="仿宋_GB2312"/>
                <w:b/>
                <w:bCs/>
                <w:color w:val="auto"/>
                <w:sz w:val="24"/>
                <w:szCs w:val="24"/>
                <w:lang w:val="en-US"/>
              </w:rPr>
            </w:pPr>
            <w:r>
              <w:rPr>
                <w:rFonts w:hint="eastAsia" w:ascii="楷体_GB2312" w:hAnsi="楷体_GB2312" w:eastAsia="楷体_GB2312" w:cs="楷体_GB2312"/>
                <w:b w:val="0"/>
                <w:bCs w:val="0"/>
                <w:sz w:val="24"/>
                <w:szCs w:val="24"/>
                <w:lang w:val="en-US" w:eastAsia="zh-CN"/>
              </w:rPr>
              <w:t>专栏2</w:t>
            </w:r>
            <w:r>
              <w:rPr>
                <w:rFonts w:hint="eastAsia" w:ascii="楷体_GB2312" w:hAnsi="楷体_GB2312" w:eastAsia="楷体_GB2312" w:cs="楷体_GB2312"/>
                <w:b w:val="0"/>
                <w:bCs w:val="0"/>
                <w:sz w:val="24"/>
                <w:szCs w:val="24"/>
              </w:rPr>
              <w:t xml:space="preserve">  </w:t>
            </w:r>
            <w:r>
              <w:rPr>
                <w:rFonts w:hint="eastAsia" w:ascii="楷体_GB2312" w:hAnsi="楷体_GB2312" w:eastAsia="楷体_GB2312" w:cs="楷体_GB2312"/>
                <w:b w:val="0"/>
                <w:bCs w:val="0"/>
                <w:sz w:val="24"/>
                <w:szCs w:val="24"/>
                <w:lang w:val="en-US" w:eastAsia="zh-CN"/>
              </w:rPr>
              <w:t>美丽黄石建设总体布局</w:t>
            </w:r>
          </w:p>
        </w:tc>
      </w:tr>
      <w:tr w14:paraId="37840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noWrap w:val="0"/>
            <w:vAlign w:val="top"/>
          </w:tcPr>
          <w:p w14:paraId="4FC874EA">
            <w:pPr>
              <w:pStyle w:val="15"/>
              <w:keepNext w:val="0"/>
              <w:keepLines w:val="0"/>
              <w:widowControl/>
              <w:suppressLineNumbers w:val="0"/>
              <w:spacing w:before="0" w:beforeAutospacing="0" w:after="0" w:afterAutospacing="0" w:line="560" w:lineRule="exact"/>
              <w:ind w:left="0" w:right="0"/>
              <w:jc w:val="both"/>
              <w:rPr>
                <w:rFonts w:hint="default" w:ascii="仿宋_GB2312" w:hAnsi="Times New Roman" w:cs="Times New Roman"/>
                <w:b w:val="0"/>
                <w:bCs w:val="0"/>
                <w:color w:val="auto"/>
                <w:sz w:val="24"/>
                <w:szCs w:val="24"/>
                <w:lang w:val="en-US" w:eastAsia="zh-CN"/>
              </w:rPr>
            </w:pPr>
            <w:r>
              <w:rPr>
                <w:rFonts w:hint="eastAsia" w:ascii="仿宋_GB2312" w:hAnsi="Times New Roman" w:cs="Times New Roman"/>
                <w:b/>
                <w:bCs/>
                <w:color w:val="auto"/>
                <w:sz w:val="24"/>
                <w:szCs w:val="24"/>
                <w:lang w:val="en-US" w:eastAsia="zh-CN"/>
              </w:rPr>
              <w:t>建设绿色低碳美丽城市</w:t>
            </w:r>
            <w:r>
              <w:rPr>
                <w:rFonts w:hint="eastAsia" w:ascii="仿宋_GB2312" w:cs="Times New Roman"/>
                <w:b/>
                <w:bCs/>
                <w:color w:val="auto"/>
                <w:sz w:val="24"/>
                <w:szCs w:val="24"/>
                <w:lang w:val="en-US" w:eastAsia="zh-CN"/>
              </w:rPr>
              <w:t>：</w:t>
            </w:r>
            <w:r>
              <w:rPr>
                <w:rFonts w:hint="eastAsia" w:ascii="仿宋_GB2312" w:hAnsi="Times New Roman" w:eastAsia="仿宋_GB2312" w:cs="Times New Roman"/>
                <w:b w:val="0"/>
                <w:bCs w:val="0"/>
                <w:color w:val="auto"/>
                <w:kern w:val="2"/>
                <w:sz w:val="24"/>
                <w:szCs w:val="24"/>
                <w:lang w:val="en-US" w:eastAsia="zh-CN" w:bidi="ar-SA"/>
              </w:rPr>
              <w:t>优化城市功能结构，实施城市更新行动，加快老工业基地绿色低碳转型，</w:t>
            </w:r>
            <w:r>
              <w:rPr>
                <w:rFonts w:hint="eastAsia" w:ascii="仿宋_GB2312" w:hAnsi="Times New Roman" w:cs="Times New Roman"/>
                <w:b w:val="0"/>
                <w:bCs w:val="0"/>
                <w:color w:val="auto"/>
                <w:sz w:val="24"/>
                <w:szCs w:val="24"/>
                <w:lang w:val="en-US" w:eastAsia="zh-CN"/>
              </w:rPr>
              <w:t>全域推进</w:t>
            </w:r>
            <w:r>
              <w:rPr>
                <w:rFonts w:hint="eastAsia" w:ascii="仿宋_GB2312" w:cs="Times New Roman"/>
                <w:b w:val="0"/>
                <w:bCs w:val="0"/>
                <w:color w:val="auto"/>
                <w:sz w:val="24"/>
                <w:szCs w:val="24"/>
                <w:lang w:val="en-US" w:eastAsia="zh-CN"/>
              </w:rPr>
              <w:t>“</w:t>
            </w:r>
            <w:r>
              <w:rPr>
                <w:rFonts w:hint="eastAsia" w:ascii="仿宋_GB2312" w:hAnsi="Times New Roman" w:cs="Times New Roman"/>
                <w:b w:val="0"/>
                <w:bCs w:val="0"/>
                <w:color w:val="auto"/>
                <w:sz w:val="24"/>
                <w:szCs w:val="24"/>
                <w:lang w:val="en-US" w:eastAsia="zh-CN"/>
              </w:rPr>
              <w:t>无废城市</w:t>
            </w:r>
            <w:r>
              <w:rPr>
                <w:rFonts w:hint="eastAsia" w:ascii="仿宋_GB2312" w:cs="Times New Roman"/>
                <w:b w:val="0"/>
                <w:bCs w:val="0"/>
                <w:color w:val="auto"/>
                <w:sz w:val="24"/>
                <w:szCs w:val="24"/>
                <w:lang w:val="en-US" w:eastAsia="zh-CN"/>
              </w:rPr>
              <w:t>”</w:t>
            </w:r>
            <w:r>
              <w:rPr>
                <w:rFonts w:hint="eastAsia" w:ascii="仿宋_GB2312" w:hAnsi="Times New Roman" w:cs="Times New Roman"/>
                <w:b w:val="0"/>
                <w:bCs w:val="0"/>
                <w:color w:val="auto"/>
                <w:sz w:val="24"/>
                <w:szCs w:val="24"/>
                <w:lang w:val="en-US" w:eastAsia="zh-CN"/>
              </w:rPr>
              <w:t xml:space="preserve"> 建设</w:t>
            </w:r>
            <w:r>
              <w:rPr>
                <w:rFonts w:hint="eastAsia" w:ascii="仿宋_GB2312" w:hAnsi="Times New Roman" w:eastAsia="仿宋_GB2312" w:cs="Times New Roman"/>
                <w:b w:val="0"/>
                <w:bCs w:val="0"/>
                <w:color w:val="auto"/>
                <w:kern w:val="2"/>
                <w:sz w:val="24"/>
                <w:szCs w:val="24"/>
                <w:lang w:val="en-US" w:eastAsia="zh-CN" w:bidi="ar-SA"/>
              </w:rPr>
              <w:t>，建设长江经济带美丽城市示范标杆</w:t>
            </w:r>
            <w:r>
              <w:rPr>
                <w:rFonts w:hint="eastAsia" w:ascii="仿宋_GB2312" w:hAnsi="Times New Roman" w:cs="Times New Roman"/>
                <w:b w:val="0"/>
                <w:bCs w:val="0"/>
                <w:color w:val="auto"/>
                <w:sz w:val="24"/>
                <w:szCs w:val="24"/>
                <w:lang w:val="en-US" w:eastAsia="zh-CN"/>
              </w:rPr>
              <w:t>。</w:t>
            </w:r>
          </w:p>
          <w:p w14:paraId="6870D4EB">
            <w:pPr>
              <w:keepNext w:val="0"/>
              <w:keepLines w:val="0"/>
              <w:pageBreakBefore w:val="0"/>
              <w:widowControl w:val="0"/>
              <w:kinsoku/>
              <w:wordWrap/>
              <w:overflowPunct/>
              <w:topLinePunct w:val="0"/>
              <w:autoSpaceDE/>
              <w:autoSpaceDN/>
              <w:bidi w:val="0"/>
              <w:adjustRightInd/>
              <w:snapToGrid w:val="0"/>
              <w:spacing w:line="360" w:lineRule="auto"/>
              <w:ind w:firstLine="602"/>
              <w:textAlignment w:val="auto"/>
              <w:rPr>
                <w:rFonts w:hint="eastAsia" w:ascii="仿宋_GB2312" w:hAnsi="Times New Roman" w:eastAsia="仿宋_GB2312" w:cs="Times New Roman"/>
                <w:b w:val="0"/>
                <w:bCs w:val="0"/>
                <w:color w:val="auto"/>
                <w:kern w:val="2"/>
                <w:sz w:val="24"/>
                <w:szCs w:val="24"/>
                <w:lang w:val="en-US" w:eastAsia="zh-CN" w:bidi="ar-SA"/>
              </w:rPr>
            </w:pPr>
            <w:r>
              <w:rPr>
                <w:rFonts w:hint="eastAsia" w:ascii="仿宋_GB2312"/>
                <w:b/>
                <w:bCs/>
                <w:color w:val="auto"/>
                <w:sz w:val="24"/>
                <w:szCs w:val="24"/>
                <w:lang w:val="en-US" w:eastAsia="zh-CN"/>
              </w:rPr>
              <w:t>打造宜居宜业美丽乡村：</w:t>
            </w:r>
            <w:r>
              <w:rPr>
                <w:rFonts w:hint="eastAsia" w:ascii="仿宋_GB2312" w:hAnsi="Times New Roman" w:eastAsia="仿宋_GB2312" w:cs="Times New Roman"/>
                <w:b w:val="0"/>
                <w:bCs w:val="0"/>
                <w:color w:val="auto"/>
                <w:kern w:val="2"/>
                <w:sz w:val="24"/>
                <w:szCs w:val="24"/>
                <w:lang w:val="en-US" w:eastAsia="zh-CN" w:bidi="ar-SA"/>
              </w:rPr>
              <w:t>统筹乡村生态振兴和农村人居环境整治，因地制宜开展乡村建设行动，推进农村生活污水治理、农业面源污染防治和美丽乡村建设。</w:t>
            </w:r>
          </w:p>
          <w:p w14:paraId="6507919E">
            <w:pPr>
              <w:keepNext w:val="0"/>
              <w:keepLines w:val="0"/>
              <w:pageBreakBefore w:val="0"/>
              <w:widowControl w:val="0"/>
              <w:kinsoku/>
              <w:wordWrap/>
              <w:overflowPunct/>
              <w:topLinePunct w:val="0"/>
              <w:autoSpaceDE/>
              <w:autoSpaceDN/>
              <w:bidi w:val="0"/>
              <w:adjustRightInd/>
              <w:snapToGrid w:val="0"/>
              <w:spacing w:line="360" w:lineRule="auto"/>
              <w:ind w:firstLine="602"/>
              <w:textAlignment w:val="auto"/>
              <w:rPr>
                <w:rFonts w:hint="eastAsia" w:ascii="仿宋_GB2312"/>
                <w:b w:val="0"/>
                <w:bCs w:val="0"/>
                <w:sz w:val="24"/>
                <w:szCs w:val="24"/>
                <w:lang w:val="en-US" w:eastAsia="zh-CN"/>
              </w:rPr>
            </w:pPr>
            <w:r>
              <w:rPr>
                <w:rFonts w:hint="eastAsia" w:ascii="仿宋_GB2312" w:eastAsia="仿宋_GB2312"/>
                <w:b/>
                <w:bCs/>
                <w:sz w:val="22"/>
                <w:szCs w:val="22"/>
                <w:lang w:bidi="ar"/>
              </w:rPr>
              <w:t>实施美丽细胞建设行动：</w:t>
            </w:r>
            <w:r>
              <w:rPr>
                <w:rFonts w:hint="eastAsia" w:ascii="仿宋_GB2312" w:hAnsi="Times New Roman" w:eastAsia="仿宋_GB2312" w:cs="Times New Roman"/>
                <w:b w:val="0"/>
                <w:bCs w:val="0"/>
                <w:color w:val="auto"/>
                <w:kern w:val="2"/>
                <w:sz w:val="24"/>
                <w:szCs w:val="24"/>
                <w:lang w:val="en-US" w:eastAsia="zh-CN" w:bidi="ar-SA"/>
              </w:rPr>
              <w:t>梯次推进美丽河湖建设，打造一批绿色工厂、绿色园区、生态公园等示范载体。</w:t>
            </w:r>
          </w:p>
        </w:tc>
      </w:tr>
    </w:tbl>
    <w:p w14:paraId="7109EC09">
      <w:pPr>
        <w:pStyle w:val="3"/>
        <w:keepNext w:val="0"/>
        <w:keepLines w:val="0"/>
        <w:pageBreakBefore w:val="0"/>
        <w:widowControl w:val="0"/>
        <w:kinsoku/>
        <w:wordWrap/>
        <w:overflowPunct/>
        <w:topLinePunct w:val="0"/>
        <w:autoSpaceDE/>
        <w:autoSpaceDN/>
        <w:bidi w:val="0"/>
        <w:adjustRightInd/>
        <w:snapToGrid w:val="0"/>
        <w:spacing w:before="0" w:beforeLines="0" w:after="0" w:afterLines="0"/>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二、坚定不移推进长江大保护</w:t>
      </w:r>
      <w:bookmarkEnd w:id="1"/>
      <w:bookmarkEnd w:id="2"/>
      <w:bookmarkEnd w:id="3"/>
    </w:p>
    <w:p w14:paraId="30C71FBE">
      <w:pPr>
        <w:pStyle w:val="3"/>
        <w:keepNext w:val="0"/>
        <w:keepLines w:val="0"/>
        <w:pageBreakBefore w:val="0"/>
        <w:widowControl w:val="0"/>
        <w:numPr>
          <w:ilvl w:val="0"/>
          <w:numId w:val="0"/>
        </w:numPr>
        <w:kinsoku/>
        <w:wordWrap/>
        <w:overflowPunct/>
        <w:topLinePunct w:val="0"/>
        <w:autoSpaceDE/>
        <w:autoSpaceDN/>
        <w:bidi w:val="0"/>
        <w:adjustRightInd/>
        <w:snapToGrid w:val="0"/>
        <w:spacing w:before="0" w:beforeLines="0" w:after="0" w:afterLines="0"/>
        <w:ind w:firstLine="640" w:firstLineChars="200"/>
        <w:jc w:val="left"/>
        <w:textAlignment w:val="auto"/>
        <w:rPr>
          <w:rFonts w:hint="eastAsia" w:ascii="Times New Roman" w:hAnsi="Times New Roman" w:eastAsia="仿宋_GB2312" w:cs="仿宋_GB2312"/>
          <w:kern w:val="2"/>
          <w:sz w:val="32"/>
          <w:szCs w:val="32"/>
          <w:highlight w:val="none"/>
          <w:lang w:val="en-US" w:eastAsia="zh-CN" w:bidi="ar"/>
        </w:rPr>
      </w:pPr>
      <w:bookmarkStart w:id="4" w:name="_Toc21569"/>
      <w:bookmarkStart w:id="5" w:name="_Toc9432"/>
      <w:bookmarkStart w:id="6" w:name="_Toc20342"/>
      <w:r>
        <w:rPr>
          <w:rFonts w:hint="eastAsia" w:ascii="楷体_GB2312" w:hAnsi="楷体_GB2312" w:eastAsia="楷体_GB2312" w:cs="楷体_GB2312"/>
          <w:lang w:val="en-US" w:eastAsia="zh-CN"/>
        </w:rPr>
        <w:t>（一）高水平保护长江生态环境。</w:t>
      </w:r>
      <w:r>
        <w:rPr>
          <w:rFonts w:hint="eastAsia" w:ascii="Times New Roman" w:hAnsi="Times New Roman" w:eastAsia="仿宋_GB2312" w:cs="仿宋_GB2312"/>
          <w:kern w:val="2"/>
          <w:sz w:val="32"/>
          <w:szCs w:val="32"/>
          <w:highlight w:val="none"/>
          <w:lang w:val="en-US" w:eastAsia="zh-CN" w:bidi="ar"/>
        </w:rPr>
        <w:t>深入实施入河排污口排查整治和“回头看”，推进全流域排污口“一口一策”整治，实施“水体—排污口—管线—污染源”全链条管理。开展大冶湖、保安湖、网湖、三山湖（黄石段）等重点湖泊水质攻坚和入湖支流综合整治，提升自然恢复能力。巩固城市黑臭水体治理成效，基本消除县城黑臭水体。加强船舶和港口污染源头管控，全面推行船舶水污染物船上储存、交岸处置。</w:t>
      </w:r>
      <w:bookmarkEnd w:id="4"/>
      <w:bookmarkEnd w:id="5"/>
      <w:bookmarkEnd w:id="6"/>
    </w:p>
    <w:p w14:paraId="344423F6">
      <w:pPr>
        <w:pStyle w:val="3"/>
        <w:keepNext w:val="0"/>
        <w:keepLines w:val="0"/>
        <w:pageBreakBefore w:val="0"/>
        <w:widowControl w:val="0"/>
        <w:numPr>
          <w:ilvl w:val="0"/>
          <w:numId w:val="0"/>
        </w:numPr>
        <w:kinsoku/>
        <w:wordWrap/>
        <w:overflowPunct/>
        <w:topLinePunct w:val="0"/>
        <w:autoSpaceDE/>
        <w:autoSpaceDN/>
        <w:bidi w:val="0"/>
        <w:adjustRightInd/>
        <w:snapToGrid w:val="0"/>
        <w:spacing w:before="0" w:beforeLines="0" w:after="0" w:afterLines="0"/>
        <w:ind w:firstLine="640" w:firstLineChars="200"/>
        <w:jc w:val="left"/>
        <w:textAlignment w:val="auto"/>
        <w:rPr>
          <w:rFonts w:hint="eastAsia" w:ascii="Times New Roman" w:hAnsi="Times New Roman" w:eastAsia="仿宋_GB2312" w:cs="仿宋_GB2312"/>
          <w:kern w:val="2"/>
          <w:sz w:val="32"/>
          <w:szCs w:val="32"/>
          <w:highlight w:val="none"/>
          <w:lang w:val="en-US" w:eastAsia="zh-CN" w:bidi="ar"/>
        </w:rPr>
      </w:pPr>
      <w:bookmarkStart w:id="7" w:name="_Toc29553"/>
      <w:bookmarkStart w:id="8" w:name="_Toc2135"/>
      <w:bookmarkStart w:id="9" w:name="_Toc8902"/>
      <w:r>
        <w:rPr>
          <w:rFonts w:hint="eastAsia" w:ascii="楷体_GB2312" w:hAnsi="楷体_GB2312" w:eastAsia="楷体_GB2312" w:cs="楷体_GB2312"/>
          <w:lang w:val="en-US" w:eastAsia="zh-CN"/>
        </w:rPr>
        <w:t>（二）构筑长江黄石段生态屏障。</w:t>
      </w:r>
      <w:r>
        <w:rPr>
          <w:rFonts w:hint="eastAsia" w:ascii="Times New Roman" w:hAnsi="Times New Roman" w:eastAsia="仿宋_GB2312" w:cs="仿宋_GB2312"/>
          <w:kern w:val="2"/>
          <w:sz w:val="32"/>
          <w:szCs w:val="32"/>
          <w:highlight w:val="none"/>
          <w:lang w:val="en-US" w:eastAsia="zh-CN" w:bidi="ar"/>
        </w:rPr>
        <w:t>构建“五廊通脉、四区协调”国土空间保护格局。系统推进长江黄石段美丽生态廊道建设，科学划分岸线功能区。严格落实长江十年禁渔，守护江豚栖息水域，依托网湖等湖库湿地维护候鸟迁徙廊道，加强外来入侵物种防控。夯实幕阜山生态屏障基底，聚焦大冶、阳新山地实施山体修复，从严遏制开山采石、毁林开荒等破坏行为。统筹山水林田湖草沙一体化管护，依托河湖长制、林长制健全长效监管体系，提升全域生态系统稳定性与生态安全韧性。</w:t>
      </w:r>
      <w:bookmarkEnd w:id="7"/>
      <w:bookmarkEnd w:id="8"/>
      <w:bookmarkEnd w:id="9"/>
    </w:p>
    <w:p w14:paraId="0419244E">
      <w:pPr>
        <w:pStyle w:val="3"/>
        <w:keepNext w:val="0"/>
        <w:keepLines w:val="0"/>
        <w:pageBreakBefore w:val="0"/>
        <w:widowControl w:val="0"/>
        <w:numPr>
          <w:ilvl w:val="0"/>
          <w:numId w:val="0"/>
        </w:numPr>
        <w:kinsoku/>
        <w:wordWrap/>
        <w:overflowPunct/>
        <w:topLinePunct w:val="0"/>
        <w:autoSpaceDE/>
        <w:autoSpaceDN/>
        <w:bidi w:val="0"/>
        <w:adjustRightInd/>
        <w:snapToGrid w:val="0"/>
        <w:spacing w:before="0" w:beforeLines="0" w:after="0" w:afterLines="0"/>
        <w:ind w:firstLine="640" w:firstLineChars="200"/>
        <w:jc w:val="left"/>
        <w:textAlignment w:val="auto"/>
        <w:rPr>
          <w:rFonts w:hint="eastAsia" w:ascii="Times New Roman" w:hAnsi="Times New Roman" w:eastAsia="仿宋_GB2312" w:cs="仿宋_GB2312"/>
          <w:kern w:val="2"/>
          <w:sz w:val="32"/>
          <w:szCs w:val="32"/>
          <w:highlight w:val="none"/>
          <w:lang w:val="en-US" w:eastAsia="zh-CN" w:bidi="ar"/>
        </w:rPr>
      </w:pPr>
      <w:bookmarkStart w:id="10" w:name="_Toc15111"/>
      <w:bookmarkStart w:id="11" w:name="_Toc27647"/>
      <w:bookmarkStart w:id="12" w:name="_Toc7961"/>
      <w:r>
        <w:rPr>
          <w:rFonts w:hint="eastAsia" w:ascii="楷体_GB2312" w:hAnsi="楷体_GB2312" w:eastAsia="楷体_GB2312" w:cs="楷体_GB2312"/>
          <w:lang w:val="en-US" w:eastAsia="zh-CN"/>
        </w:rPr>
        <w:t>（三）深化长江经济带生态协同</w:t>
      </w:r>
      <w:bookmarkEnd w:id="10"/>
      <w:bookmarkEnd w:id="11"/>
      <w:bookmarkEnd w:id="12"/>
      <w:r>
        <w:rPr>
          <w:rFonts w:hint="eastAsia" w:ascii="楷体_GB2312" w:hAnsi="楷体_GB2312" w:eastAsia="楷体_GB2312" w:cs="楷体_GB2312"/>
          <w:lang w:val="en-US" w:eastAsia="zh-CN"/>
        </w:rPr>
        <w:t>。</w:t>
      </w:r>
      <w:r>
        <w:rPr>
          <w:rFonts w:hint="eastAsia" w:ascii="Times New Roman" w:hAnsi="Times New Roman" w:eastAsia="仿宋_GB2312" w:cs="仿宋_GB2312"/>
          <w:kern w:val="2"/>
          <w:sz w:val="32"/>
          <w:szCs w:val="32"/>
          <w:highlight w:val="none"/>
          <w:lang w:val="en-US" w:eastAsia="zh-CN" w:bidi="ar"/>
        </w:rPr>
        <w:t>落实长江干流跨区域联防联治，联动武汉、鄂州、咸宁共建梁子湖流域生态“绿心”，推进化学需氧量、总磷及重金属污染综合防治。深化武汉都市圈大气污染联防联控，完善跨流域横向生态保护补偿制度。健全跨区域固废、化学品运输、船舶油污环境风险防范和预警应急体系，提升区域生态安全共建共治水平。</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77619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8296" w:type="dxa"/>
            <w:noWrap w:val="0"/>
            <w:vAlign w:val="top"/>
          </w:tcPr>
          <w:p w14:paraId="4FBD710C">
            <w:pPr>
              <w:widowControl/>
              <w:adjustRightInd w:val="0"/>
              <w:spacing w:line="240" w:lineRule="auto"/>
              <w:ind w:firstLine="0" w:firstLineChars="0"/>
              <w:jc w:val="center"/>
              <w:rPr>
                <w:rFonts w:ascii="仿宋_GB2312"/>
                <w:b/>
                <w:bCs/>
                <w:color w:val="auto"/>
                <w:sz w:val="24"/>
                <w:szCs w:val="24"/>
              </w:rPr>
            </w:pPr>
            <w:r>
              <w:rPr>
                <w:rFonts w:hint="eastAsia" w:ascii="楷体_GB2312" w:hAnsi="楷体_GB2312" w:eastAsia="楷体_GB2312" w:cs="楷体_GB2312"/>
                <w:b w:val="0"/>
                <w:bCs w:val="0"/>
                <w:sz w:val="24"/>
                <w:szCs w:val="24"/>
                <w:lang w:val="en-US" w:eastAsia="zh-CN"/>
              </w:rPr>
              <w:t>专栏3</w:t>
            </w:r>
            <w:r>
              <w:rPr>
                <w:rFonts w:hint="eastAsia" w:ascii="楷体_GB2312" w:hAnsi="楷体_GB2312" w:eastAsia="楷体_GB2312" w:cs="楷体_GB2312"/>
                <w:b w:val="0"/>
                <w:bCs w:val="0"/>
                <w:sz w:val="24"/>
                <w:szCs w:val="24"/>
              </w:rPr>
              <w:t xml:space="preserve">  </w:t>
            </w:r>
            <w:r>
              <w:rPr>
                <w:rFonts w:hint="eastAsia" w:ascii="楷体_GB2312" w:hAnsi="楷体_GB2312" w:eastAsia="楷体_GB2312" w:cs="楷体_GB2312"/>
                <w:b w:val="0"/>
                <w:bCs w:val="0"/>
                <w:sz w:val="24"/>
                <w:szCs w:val="24"/>
                <w:lang w:val="en-US" w:eastAsia="zh-CN"/>
              </w:rPr>
              <w:t>长江大保护工程</w:t>
            </w:r>
          </w:p>
        </w:tc>
      </w:tr>
      <w:tr w14:paraId="3B3C9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noWrap w:val="0"/>
            <w:vAlign w:val="top"/>
          </w:tcPr>
          <w:p w14:paraId="4CD00195">
            <w:pPr>
              <w:keepNext w:val="0"/>
              <w:keepLines w:val="0"/>
              <w:pageBreakBefore w:val="0"/>
              <w:widowControl w:val="0"/>
              <w:kinsoku/>
              <w:wordWrap/>
              <w:overflowPunct/>
              <w:topLinePunct w:val="0"/>
              <w:autoSpaceDE/>
              <w:autoSpaceDN/>
              <w:bidi w:val="0"/>
              <w:adjustRightInd/>
              <w:snapToGrid w:val="0"/>
              <w:spacing w:line="360" w:lineRule="auto"/>
              <w:ind w:firstLine="602"/>
              <w:textAlignment w:val="auto"/>
              <w:rPr>
                <w:rFonts w:hint="default" w:ascii="仿宋_GB2312" w:hAnsi="Times New Roman" w:cs="Times New Roman"/>
                <w:b w:val="0"/>
                <w:bCs w:val="0"/>
                <w:color w:val="auto"/>
                <w:sz w:val="24"/>
                <w:szCs w:val="24"/>
                <w:lang w:val="en-US" w:eastAsia="zh-CN"/>
              </w:rPr>
            </w:pPr>
            <w:r>
              <w:rPr>
                <w:rFonts w:hint="eastAsia" w:ascii="仿宋_GB2312" w:hAnsi="Times New Roman" w:cs="Times New Roman"/>
                <w:b/>
                <w:bCs/>
                <w:color w:val="auto"/>
                <w:sz w:val="24"/>
                <w:szCs w:val="24"/>
                <w:lang w:val="en-US" w:eastAsia="zh-CN"/>
              </w:rPr>
              <w:t>重点流域保护与治理：</w:t>
            </w:r>
            <w:r>
              <w:rPr>
                <w:rFonts w:hint="eastAsia" w:ascii="仿宋_GB2312" w:hAnsi="Times New Roman" w:cs="Times New Roman"/>
                <w:b w:val="0"/>
                <w:bCs w:val="0"/>
                <w:color w:val="auto"/>
                <w:sz w:val="24"/>
                <w:szCs w:val="24"/>
                <w:lang w:val="en-US" w:eastAsia="zh-CN"/>
              </w:rPr>
              <w:t>实施生态护岸、人工湿地、生态沟渠和污染底泥清理工程，推进梁子湖流域大冶片区美丽河湖建设、富河流域水环境综合治理等项目。</w:t>
            </w:r>
          </w:p>
          <w:p w14:paraId="522AB51E">
            <w:pPr>
              <w:keepNext w:val="0"/>
              <w:keepLines w:val="0"/>
              <w:pageBreakBefore w:val="0"/>
              <w:widowControl w:val="0"/>
              <w:kinsoku/>
              <w:wordWrap/>
              <w:overflowPunct/>
              <w:topLinePunct w:val="0"/>
              <w:autoSpaceDE/>
              <w:autoSpaceDN/>
              <w:bidi w:val="0"/>
              <w:adjustRightInd/>
              <w:snapToGrid w:val="0"/>
              <w:spacing w:line="360" w:lineRule="auto"/>
              <w:ind w:firstLine="602"/>
              <w:textAlignment w:val="auto"/>
              <w:rPr>
                <w:rFonts w:hint="eastAsia" w:ascii="仿宋_GB2312"/>
                <w:b w:val="0"/>
                <w:bCs w:val="0"/>
                <w:color w:val="auto"/>
                <w:sz w:val="24"/>
                <w:szCs w:val="24"/>
                <w:lang w:val="en-US" w:eastAsia="zh-CN"/>
              </w:rPr>
            </w:pPr>
            <w:r>
              <w:rPr>
                <w:rFonts w:hint="eastAsia" w:ascii="仿宋_GB2312"/>
                <w:b/>
                <w:bCs/>
                <w:color w:val="auto"/>
                <w:sz w:val="24"/>
                <w:szCs w:val="24"/>
                <w:lang w:val="en-US" w:eastAsia="zh-CN"/>
              </w:rPr>
              <w:t>入河排污口整治提升：</w:t>
            </w:r>
            <w:r>
              <w:rPr>
                <w:rFonts w:hint="eastAsia" w:ascii="仿宋_GB2312"/>
                <w:b w:val="0"/>
                <w:bCs w:val="0"/>
                <w:color w:val="auto"/>
                <w:sz w:val="24"/>
                <w:szCs w:val="24"/>
                <w:lang w:val="en-US" w:eastAsia="zh-CN"/>
              </w:rPr>
              <w:t>完成全域排污口整治“回头看”，实施重点湖泊入河排污口整治及规范化建设。</w:t>
            </w:r>
          </w:p>
          <w:p w14:paraId="79F760AA">
            <w:pPr>
              <w:keepNext w:val="0"/>
              <w:keepLines w:val="0"/>
              <w:pageBreakBefore w:val="0"/>
              <w:widowControl w:val="0"/>
              <w:kinsoku/>
              <w:wordWrap/>
              <w:overflowPunct/>
              <w:topLinePunct w:val="0"/>
              <w:autoSpaceDE/>
              <w:autoSpaceDN/>
              <w:bidi w:val="0"/>
              <w:adjustRightInd/>
              <w:snapToGrid w:val="0"/>
              <w:spacing w:line="360" w:lineRule="auto"/>
              <w:ind w:firstLine="602"/>
              <w:textAlignment w:val="auto"/>
              <w:rPr>
                <w:rFonts w:hint="eastAsia" w:ascii="仿宋_GB2312"/>
                <w:b w:val="0"/>
                <w:bCs w:val="0"/>
                <w:color w:val="auto"/>
                <w:sz w:val="24"/>
                <w:szCs w:val="24"/>
                <w:lang w:val="en-US" w:eastAsia="zh-CN"/>
              </w:rPr>
            </w:pPr>
            <w:r>
              <w:rPr>
                <w:rFonts w:hint="eastAsia" w:ascii="仿宋_GB2312"/>
                <w:b/>
                <w:bCs/>
                <w:color w:val="auto"/>
                <w:sz w:val="24"/>
                <w:szCs w:val="24"/>
                <w:lang w:val="en-US" w:eastAsia="zh-CN"/>
              </w:rPr>
              <w:t>工业园区污水治理：</w:t>
            </w:r>
            <w:r>
              <w:rPr>
                <w:rFonts w:hint="eastAsia" w:ascii="仿宋_GB2312"/>
                <w:b w:val="0"/>
                <w:bCs w:val="0"/>
                <w:color w:val="auto"/>
                <w:sz w:val="24"/>
                <w:szCs w:val="24"/>
                <w:lang w:val="en-US" w:eastAsia="zh-CN"/>
              </w:rPr>
              <w:t>实施黄石新港污水处理尾水利用、城西北工业园区水环境综合治理、大冶市乡镇工业园区污水处理厂及配套管网建设等设施更新改造工程。</w:t>
            </w:r>
          </w:p>
          <w:p w14:paraId="15B48C3D">
            <w:pPr>
              <w:keepNext w:val="0"/>
              <w:keepLines w:val="0"/>
              <w:pageBreakBefore w:val="0"/>
              <w:widowControl w:val="0"/>
              <w:kinsoku/>
              <w:wordWrap/>
              <w:overflowPunct/>
              <w:topLinePunct w:val="0"/>
              <w:autoSpaceDE/>
              <w:autoSpaceDN/>
              <w:bidi w:val="0"/>
              <w:adjustRightInd/>
              <w:snapToGrid w:val="0"/>
              <w:spacing w:line="360" w:lineRule="auto"/>
              <w:ind w:firstLine="602"/>
              <w:textAlignment w:val="auto"/>
              <w:rPr>
                <w:rFonts w:hint="eastAsia" w:ascii="仿宋_GB2312"/>
                <w:b w:val="0"/>
                <w:bCs w:val="0"/>
                <w:color w:val="auto"/>
                <w:sz w:val="24"/>
                <w:szCs w:val="24"/>
                <w:lang w:val="en-US" w:eastAsia="zh-CN"/>
              </w:rPr>
            </w:pPr>
            <w:r>
              <w:rPr>
                <w:rFonts w:hint="eastAsia" w:ascii="仿宋_GB2312"/>
                <w:b/>
                <w:bCs/>
                <w:sz w:val="24"/>
                <w:szCs w:val="24"/>
              </w:rPr>
              <w:t>山水林田湖草沙一体化保护修复：</w:t>
            </w:r>
            <w:r>
              <w:rPr>
                <w:rFonts w:hint="eastAsia" w:ascii="仿宋_GB2312"/>
                <w:b w:val="0"/>
                <w:bCs w:val="0"/>
                <w:color w:val="auto"/>
                <w:sz w:val="24"/>
                <w:szCs w:val="24"/>
                <w:lang w:val="en-US" w:eastAsia="zh-CN"/>
              </w:rPr>
              <w:t>实施幕阜山北麓（阳新段）山水林田湖草沙一体化保护修复工程，加强水源涵养区、水土流失区、矿山占用区综合治理。</w:t>
            </w:r>
          </w:p>
          <w:p w14:paraId="36722E88">
            <w:pPr>
              <w:keepNext w:val="0"/>
              <w:keepLines w:val="0"/>
              <w:pageBreakBefore w:val="0"/>
              <w:widowControl w:val="0"/>
              <w:kinsoku/>
              <w:wordWrap/>
              <w:overflowPunct/>
              <w:topLinePunct w:val="0"/>
              <w:autoSpaceDE/>
              <w:autoSpaceDN/>
              <w:bidi w:val="0"/>
              <w:adjustRightInd/>
              <w:snapToGrid w:val="0"/>
              <w:spacing w:line="360" w:lineRule="auto"/>
              <w:ind w:firstLine="602"/>
              <w:textAlignment w:val="auto"/>
              <w:rPr>
                <w:rFonts w:hint="eastAsia" w:ascii="仿宋_GB2312"/>
                <w:b w:val="0"/>
                <w:bCs w:val="0"/>
                <w:sz w:val="24"/>
                <w:szCs w:val="24"/>
                <w:lang w:val="en-US" w:eastAsia="zh-CN"/>
              </w:rPr>
            </w:pPr>
            <w:r>
              <w:rPr>
                <w:rFonts w:hint="eastAsia" w:ascii="仿宋_GB2312"/>
                <w:b/>
                <w:bCs/>
                <w:sz w:val="24"/>
                <w:szCs w:val="24"/>
              </w:rPr>
              <w:t>河湖湿地生态保护修复：</w:t>
            </w:r>
            <w:r>
              <w:rPr>
                <w:rFonts w:hint="eastAsia" w:ascii="仿宋_GB2312"/>
                <w:b w:val="0"/>
                <w:bCs w:val="0"/>
                <w:color w:val="auto"/>
                <w:sz w:val="24"/>
                <w:szCs w:val="24"/>
                <w:lang w:val="en-US" w:eastAsia="zh-CN"/>
              </w:rPr>
              <w:t>实施网湖国际重要湿地生态效益补偿和湿地保护修复项目，建设大冶湖、保安湖美丽河湖示范，实施“数字江豚”智慧监测保护工程。</w:t>
            </w:r>
          </w:p>
        </w:tc>
      </w:tr>
    </w:tbl>
    <w:p w14:paraId="1741728B">
      <w:pPr>
        <w:pStyle w:val="22"/>
        <w:keepNext/>
        <w:keepLines/>
        <w:pageBreakBefore w:val="0"/>
        <w:widowControl w:val="0"/>
        <w:kinsoku/>
        <w:wordWrap/>
        <w:overflowPunct/>
        <w:topLinePunct w:val="0"/>
        <w:autoSpaceDE/>
        <w:autoSpaceDN/>
        <w:bidi w:val="0"/>
        <w:adjustRightInd/>
        <w:snapToGrid w:val="0"/>
        <w:spacing w:line="580" w:lineRule="exact"/>
        <w:ind w:firstLine="640" w:firstLineChars="200"/>
        <w:jc w:val="left"/>
        <w:textAlignment w:val="auto"/>
        <w:rPr>
          <w:sz w:val="32"/>
          <w:szCs w:val="32"/>
        </w:rPr>
      </w:pPr>
      <w:bookmarkStart w:id="13" w:name="_Toc16036"/>
      <w:bookmarkStart w:id="14" w:name="_Toc3872"/>
      <w:bookmarkStart w:id="15" w:name="_Toc3596"/>
      <w:r>
        <w:rPr>
          <w:rFonts w:hint="eastAsia" w:ascii="Times New Roman" w:hAnsi="Times New Roman"/>
          <w:sz w:val="32"/>
          <w:szCs w:val="32"/>
          <w:lang w:val="en-US" w:eastAsia="zh-CN"/>
        </w:rPr>
        <w:t>三、持续深入打好蓝天保卫战</w:t>
      </w:r>
      <w:bookmarkEnd w:id="13"/>
      <w:bookmarkEnd w:id="14"/>
      <w:bookmarkEnd w:id="15"/>
    </w:p>
    <w:p w14:paraId="7DE76A93">
      <w:pPr>
        <w:pStyle w:val="3"/>
        <w:keepNext w:val="0"/>
        <w:keepLines w:val="0"/>
        <w:pageBreakBefore w:val="0"/>
        <w:widowControl w:val="0"/>
        <w:kinsoku/>
        <w:wordWrap/>
        <w:overflowPunct/>
        <w:topLinePunct w:val="0"/>
        <w:autoSpaceDE/>
        <w:autoSpaceDN/>
        <w:bidi w:val="0"/>
        <w:adjustRightInd/>
        <w:snapToGrid w:val="0"/>
        <w:spacing w:before="0" w:beforeLines="0" w:after="0" w:afterLines="0"/>
        <w:ind w:firstLine="640" w:firstLineChars="200"/>
        <w:jc w:val="left"/>
        <w:textAlignment w:val="auto"/>
        <w:rPr>
          <w:rFonts w:hint="eastAsia" w:ascii="Times New Roman" w:hAnsi="Times New Roman" w:eastAsia="仿宋_GB2312" w:cs="仿宋_GB2312"/>
          <w:kern w:val="2"/>
          <w:sz w:val="32"/>
          <w:szCs w:val="32"/>
          <w:highlight w:val="none"/>
          <w:lang w:val="en-US" w:eastAsia="zh-CN" w:bidi="ar"/>
        </w:rPr>
      </w:pPr>
      <w:bookmarkStart w:id="16" w:name="_Toc6445"/>
      <w:bookmarkStart w:id="17" w:name="_Toc11213"/>
      <w:bookmarkStart w:id="18" w:name="_Toc842"/>
      <w:bookmarkStart w:id="19" w:name="_Toc32237"/>
      <w:r>
        <w:rPr>
          <w:rFonts w:hint="eastAsia" w:ascii="楷体_GB2312" w:hAnsi="楷体_GB2312" w:eastAsia="楷体_GB2312" w:cs="楷体_GB2312"/>
          <w:sz w:val="32"/>
          <w:szCs w:val="32"/>
          <w:lang w:val="en-US" w:eastAsia="zh-CN"/>
        </w:rPr>
        <w:t>（四）强化固定源污染治理。</w:t>
      </w:r>
      <w:r>
        <w:rPr>
          <w:rFonts w:hint="eastAsia" w:ascii="Times New Roman" w:hAnsi="Times New Roman" w:eastAsia="仿宋_GB2312" w:cs="仿宋_GB2312"/>
          <w:kern w:val="2"/>
          <w:sz w:val="32"/>
          <w:szCs w:val="32"/>
          <w:highlight w:val="none"/>
          <w:lang w:val="en-US" w:eastAsia="zh-CN" w:bidi="ar"/>
        </w:rPr>
        <w:t>高质量推进重点行业超低排放改造，2028年底前全市燃煤机组完成全流程超低排放和全负荷脱硝改造，水泥、铸造用生铁、生活垃圾焚烧企业基本完成超低排放改造。深化VOCs全流程治理，以家具制造、工业涂装、电子信息、包装印刷、汽修等行业为重点推进源头替代，2028年底基本实现重点行业替代。实施绩效提级行动，推动钢铁、水泥行业绩效创A，制药、工业涂装、铸造、包装印刷创C晋B，水泥制品和粉磨站创引领性。</w:t>
      </w:r>
      <w:bookmarkEnd w:id="16"/>
      <w:bookmarkEnd w:id="17"/>
      <w:bookmarkEnd w:id="18"/>
      <w:bookmarkEnd w:id="19"/>
    </w:p>
    <w:p w14:paraId="56E68FCC">
      <w:pPr>
        <w:pStyle w:val="3"/>
        <w:keepNext w:val="0"/>
        <w:keepLines w:val="0"/>
        <w:pageBreakBefore w:val="0"/>
        <w:widowControl w:val="0"/>
        <w:kinsoku/>
        <w:wordWrap/>
        <w:overflowPunct/>
        <w:topLinePunct w:val="0"/>
        <w:autoSpaceDE/>
        <w:autoSpaceDN/>
        <w:bidi w:val="0"/>
        <w:adjustRightInd/>
        <w:snapToGrid w:val="0"/>
        <w:spacing w:before="0" w:beforeLines="0" w:after="0" w:afterLines="0"/>
        <w:ind w:firstLine="640" w:firstLineChars="200"/>
        <w:jc w:val="both"/>
        <w:textAlignment w:val="auto"/>
        <w:rPr>
          <w:rFonts w:hint="eastAsia" w:ascii="Times New Roman" w:hAnsi="Times New Roman" w:eastAsia="仿宋_GB2312" w:cs="仿宋_GB2312"/>
          <w:kern w:val="2"/>
          <w:sz w:val="32"/>
          <w:szCs w:val="32"/>
          <w:highlight w:val="none"/>
          <w:lang w:val="en-US" w:eastAsia="zh-CN" w:bidi="ar"/>
        </w:rPr>
      </w:pPr>
      <w:bookmarkStart w:id="20" w:name="_Toc5640"/>
      <w:bookmarkStart w:id="21" w:name="_Toc30362"/>
      <w:r>
        <w:rPr>
          <w:rFonts w:hint="eastAsia" w:ascii="楷体_GB2312" w:hAnsi="楷体_GB2312" w:eastAsia="楷体_GB2312" w:cs="楷体_GB2312"/>
          <w:sz w:val="32"/>
          <w:szCs w:val="32"/>
          <w:lang w:val="en-US" w:eastAsia="zh-CN"/>
        </w:rPr>
        <w:t>（五）加强移动源污染治理。</w:t>
      </w:r>
      <w:r>
        <w:rPr>
          <w:rFonts w:hint="eastAsia" w:ascii="Times New Roman" w:hAnsi="Times New Roman" w:eastAsia="仿宋_GB2312" w:cs="仿宋_GB2312"/>
          <w:kern w:val="2"/>
          <w:sz w:val="32"/>
          <w:szCs w:val="32"/>
          <w:highlight w:val="none"/>
          <w:lang w:val="en-US" w:eastAsia="zh-CN" w:bidi="ar"/>
        </w:rPr>
        <w:t>加快淘汰国四及以下营运货车、国二及以下工程机械和老旧铁路内燃机车。推进新能源重卡替代应用，鼓励西塞山区开展货运零排放区试点建设，到2028年火电、钢铁、水泥、焦化、有色冶炼等重点行业清洁运输比例达到90%，港口煤炭、焦炭、铁矿石、砂石集疏港清洁运输比例力争达60%以上。优化调整高排放非道路移动机械禁用区。</w:t>
      </w:r>
      <w:bookmarkEnd w:id="20"/>
      <w:bookmarkEnd w:id="21"/>
    </w:p>
    <w:p w14:paraId="6601B241">
      <w:pPr>
        <w:pStyle w:val="3"/>
        <w:keepNext w:val="0"/>
        <w:keepLines w:val="0"/>
        <w:pageBreakBefore w:val="0"/>
        <w:widowControl w:val="0"/>
        <w:kinsoku/>
        <w:wordWrap/>
        <w:overflowPunct/>
        <w:topLinePunct w:val="0"/>
        <w:autoSpaceDE/>
        <w:autoSpaceDN/>
        <w:bidi w:val="0"/>
        <w:adjustRightInd/>
        <w:snapToGrid w:val="0"/>
        <w:spacing w:before="0" w:beforeLines="0" w:after="0" w:afterLines="0"/>
        <w:ind w:firstLine="640" w:firstLineChars="200"/>
        <w:jc w:val="both"/>
        <w:textAlignment w:val="auto"/>
        <w:rPr>
          <w:rFonts w:ascii="Arial"/>
          <w:sz w:val="32"/>
          <w:szCs w:val="32"/>
        </w:rPr>
      </w:pPr>
      <w:bookmarkStart w:id="22" w:name="_Toc2485"/>
      <w:bookmarkStart w:id="23" w:name="_Toc31938"/>
      <w:r>
        <w:rPr>
          <w:rFonts w:hint="eastAsia" w:ascii="楷体_GB2312" w:hAnsi="楷体_GB2312" w:eastAsia="楷体_GB2312" w:cs="楷体_GB2312"/>
          <w:sz w:val="32"/>
          <w:szCs w:val="32"/>
          <w:lang w:val="en-US" w:eastAsia="zh-CN"/>
        </w:rPr>
        <w:t>（六）加强面源污染精细化管控。</w:t>
      </w:r>
      <w:bookmarkEnd w:id="22"/>
      <w:bookmarkEnd w:id="23"/>
      <w:r>
        <w:rPr>
          <w:rFonts w:hint="eastAsia" w:ascii="仿宋_GB2312" w:hAnsi="仿宋_GB2312" w:eastAsia="仿宋_GB2312" w:cs="仿宋_GB2312"/>
          <w:bCs/>
          <w:strike w:val="0"/>
          <w:dstrike w:val="0"/>
          <w:color w:val="000000"/>
          <w:sz w:val="32"/>
          <w:szCs w:val="32"/>
          <w:highlight w:val="none"/>
          <w:u w:val="none"/>
        </w:rPr>
        <w:t>严格落实工地扬尘防治“六化”要求，推广全封闭生态施工和渣土车密闭运输，加强道路机械化清扫，严控矿山、堆场、码头扬尘。完善秸秆收储运体系，强化精准管控，探索生物质超低排放供热试点，</w:t>
      </w:r>
      <w:r>
        <w:rPr>
          <w:rFonts w:hint="eastAsia" w:ascii="仿宋_GB2312" w:hAnsi="仿宋_GB2312" w:eastAsia="仿宋_GB2312" w:cs="仿宋_GB2312"/>
          <w:bCs/>
          <w:strike w:val="0"/>
          <w:dstrike w:val="0"/>
          <w:color w:val="000000"/>
          <w:sz w:val="32"/>
          <w:szCs w:val="32"/>
          <w:highlight w:val="none"/>
          <w:u w:val="none"/>
          <w:lang w:eastAsia="zh-CN"/>
        </w:rPr>
        <w:t>到2028</w:t>
      </w:r>
      <w:r>
        <w:rPr>
          <w:rFonts w:hint="eastAsia" w:ascii="仿宋_GB2312" w:hAnsi="仿宋_GB2312" w:eastAsia="仿宋_GB2312" w:cs="仿宋_GB2312"/>
          <w:bCs/>
          <w:strike w:val="0"/>
          <w:dstrike w:val="0"/>
          <w:color w:val="000000"/>
          <w:sz w:val="32"/>
          <w:szCs w:val="32"/>
          <w:highlight w:val="none"/>
          <w:u w:val="none"/>
        </w:rPr>
        <w:t>年</w:t>
      </w:r>
      <w:r>
        <w:rPr>
          <w:rFonts w:hint="eastAsia" w:ascii="仿宋_GB2312" w:hAnsi="仿宋_GB2312" w:eastAsia="仿宋_GB2312" w:cs="仿宋_GB2312"/>
          <w:bCs/>
          <w:strike w:val="0"/>
          <w:dstrike w:val="0"/>
          <w:color w:val="000000"/>
          <w:sz w:val="32"/>
          <w:szCs w:val="32"/>
          <w:highlight w:val="none"/>
          <w:u w:val="none"/>
          <w:lang w:eastAsia="zh-CN"/>
        </w:rPr>
        <w:t>，秸秆</w:t>
      </w:r>
      <w:r>
        <w:rPr>
          <w:rFonts w:hint="eastAsia" w:ascii="仿宋_GB2312" w:hAnsi="仿宋_GB2312" w:eastAsia="仿宋_GB2312" w:cs="仿宋_GB2312"/>
          <w:bCs/>
          <w:strike w:val="0"/>
          <w:dstrike w:val="0"/>
          <w:color w:val="000000"/>
          <w:sz w:val="32"/>
          <w:szCs w:val="32"/>
          <w:highlight w:val="none"/>
          <w:u w:val="none"/>
        </w:rPr>
        <w:t>综合利用率达95</w:t>
      </w:r>
      <w:r>
        <w:rPr>
          <w:rFonts w:hint="eastAsia" w:ascii="仿宋_GB2312" w:hAnsi="仿宋_GB2312" w:eastAsia="仿宋_GB2312" w:cs="仿宋_GB2312"/>
          <w:bCs/>
          <w:strike w:val="0"/>
          <w:dstrike w:val="0"/>
          <w:color w:val="000000"/>
          <w:sz w:val="32"/>
          <w:szCs w:val="32"/>
          <w:highlight w:val="none"/>
          <w:u w:val="none"/>
          <w:lang w:eastAsia="zh-CN"/>
        </w:rPr>
        <w:t>%</w:t>
      </w:r>
      <w:r>
        <w:rPr>
          <w:rFonts w:hint="eastAsia" w:ascii="仿宋_GB2312" w:hAnsi="仿宋_GB2312" w:eastAsia="仿宋_GB2312" w:cs="仿宋_GB2312"/>
          <w:bCs/>
          <w:strike w:val="0"/>
          <w:dstrike w:val="0"/>
          <w:color w:val="000000"/>
          <w:sz w:val="32"/>
          <w:szCs w:val="32"/>
          <w:highlight w:val="none"/>
          <w:u w:val="none"/>
        </w:rPr>
        <w:t>。加强畜禽养殖氨排放全过程管理和烟花爆竹全链条监管。健全餐饮油烟全链条监管机制，加大违法行为查处力度。</w:t>
      </w:r>
    </w:p>
    <w:p w14:paraId="6D3631AD">
      <w:pPr>
        <w:pStyle w:val="3"/>
        <w:keepNext w:val="0"/>
        <w:keepLines w:val="0"/>
        <w:pageBreakBefore w:val="0"/>
        <w:widowControl w:val="0"/>
        <w:kinsoku/>
        <w:wordWrap/>
        <w:overflowPunct/>
        <w:topLinePunct w:val="0"/>
        <w:autoSpaceDE/>
        <w:autoSpaceDN/>
        <w:bidi w:val="0"/>
        <w:adjustRightInd/>
        <w:snapToGrid w:val="0"/>
        <w:spacing w:before="0" w:beforeLines="0" w:after="0" w:afterLines="0"/>
        <w:ind w:firstLine="640" w:firstLineChars="200"/>
        <w:jc w:val="both"/>
        <w:textAlignment w:val="auto"/>
        <w:rPr>
          <w:rFonts w:hint="eastAsia" w:ascii="仿宋_GB2312" w:hAnsi="仿宋_GB2312" w:eastAsia="仿宋_GB2312" w:cs="仿宋_GB2312"/>
          <w:strike w:val="0"/>
          <w:dstrike w:val="0"/>
          <w:color w:val="000000"/>
          <w:kern w:val="2"/>
          <w:sz w:val="32"/>
          <w:szCs w:val="32"/>
          <w:highlight w:val="none"/>
          <w:u w:val="none"/>
          <w:lang w:val="en-US" w:eastAsia="zh-CN" w:bidi="ar-SA"/>
        </w:rPr>
      </w:pPr>
      <w:r>
        <w:rPr>
          <w:rFonts w:hint="eastAsia" w:ascii="楷体_GB2312" w:hAnsi="楷体_GB2312" w:eastAsia="楷体_GB2312" w:cs="楷体_GB2312"/>
          <w:sz w:val="32"/>
          <w:szCs w:val="32"/>
          <w:lang w:val="en-US" w:eastAsia="zh-CN"/>
        </w:rPr>
        <w:t>（七）强化噪声污染分类管控。</w:t>
      </w:r>
      <w:r>
        <w:rPr>
          <w:rFonts w:hint="eastAsia" w:ascii="仿宋_GB2312" w:hAnsi="仿宋_GB2312" w:eastAsia="仿宋_GB2312" w:cs="仿宋_GB2312"/>
          <w:strike w:val="0"/>
          <w:dstrike w:val="0"/>
          <w:color w:val="000000"/>
          <w:kern w:val="2"/>
          <w:sz w:val="32"/>
          <w:szCs w:val="32"/>
          <w:highlight w:val="none"/>
          <w:u w:val="none"/>
          <w:lang w:val="en-US" w:eastAsia="zh-CN" w:bidi="ar-SA"/>
        </w:rPr>
        <w:t>优化噪声敏感建筑物布局，建立噪声问题综合治理清单。动态更新工业噪声重点排污单位名录，实现噪声自动监测。规范夜间施工管理，推广低噪声施工设备，加强中重型运输车辆和低空飞行器噪声监管。落实噪声污染防治责任清单，持续开展宁静小区建设。</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62F21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296" w:type="dxa"/>
            <w:noWrap w:val="0"/>
            <w:vAlign w:val="center"/>
          </w:tcPr>
          <w:p w14:paraId="5E6404CB">
            <w:pPr>
              <w:widowControl/>
              <w:adjustRightInd w:val="0"/>
              <w:spacing w:line="240" w:lineRule="auto"/>
              <w:ind w:firstLine="0" w:firstLineChars="0"/>
              <w:jc w:val="center"/>
              <w:rPr>
                <w:rFonts w:ascii="仿宋_GB2312"/>
                <w:b/>
                <w:bCs/>
                <w:color w:val="auto"/>
                <w:sz w:val="30"/>
                <w:szCs w:val="30"/>
              </w:rPr>
            </w:pPr>
            <w:r>
              <w:rPr>
                <w:rFonts w:hint="eastAsia" w:ascii="楷体_GB2312" w:hAnsi="楷体_GB2312" w:eastAsia="楷体_GB2312" w:cs="楷体_GB2312"/>
                <w:b w:val="0"/>
                <w:bCs w:val="0"/>
                <w:sz w:val="24"/>
                <w:szCs w:val="24"/>
                <w:lang w:val="en-US" w:eastAsia="zh-CN"/>
              </w:rPr>
              <w:t>专栏4  蓝天工程</w:t>
            </w:r>
          </w:p>
        </w:tc>
      </w:tr>
      <w:tr w14:paraId="3D629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noWrap w:val="0"/>
            <w:vAlign w:val="top"/>
          </w:tcPr>
          <w:p w14:paraId="049F8E7D">
            <w:pPr>
              <w:keepNext w:val="0"/>
              <w:keepLines w:val="0"/>
              <w:pageBreakBefore w:val="0"/>
              <w:widowControl w:val="0"/>
              <w:kinsoku/>
              <w:wordWrap/>
              <w:overflowPunct/>
              <w:topLinePunct w:val="0"/>
              <w:autoSpaceDE/>
              <w:autoSpaceDN/>
              <w:bidi w:val="0"/>
              <w:adjustRightInd/>
              <w:snapToGrid w:val="0"/>
              <w:spacing w:line="360" w:lineRule="auto"/>
              <w:ind w:firstLine="602"/>
              <w:textAlignment w:val="auto"/>
              <w:rPr>
                <w:rFonts w:hint="default" w:ascii="仿宋_GB2312" w:hAnsi="Times New Roman" w:cs="Times New Roman"/>
                <w:b w:val="0"/>
                <w:bCs w:val="0"/>
                <w:color w:val="auto"/>
                <w:sz w:val="24"/>
                <w:szCs w:val="24"/>
                <w:lang w:val="en-US" w:eastAsia="zh-CN"/>
              </w:rPr>
            </w:pPr>
            <w:r>
              <w:rPr>
                <w:rFonts w:hint="eastAsia" w:ascii="仿宋_GB2312" w:hAnsi="Times New Roman" w:cs="Times New Roman"/>
                <w:b/>
                <w:bCs/>
                <w:color w:val="auto"/>
                <w:sz w:val="24"/>
                <w:szCs w:val="24"/>
                <w:lang w:val="en-US" w:eastAsia="zh-CN"/>
              </w:rPr>
              <w:t>美丽蓝天保护与建设工程：</w:t>
            </w:r>
            <w:r>
              <w:rPr>
                <w:rFonts w:hint="eastAsia" w:ascii="仿宋_GB2312" w:hAnsi="Times New Roman" w:cs="Times New Roman"/>
                <w:b w:val="0"/>
                <w:bCs w:val="0"/>
                <w:color w:val="auto"/>
                <w:sz w:val="24"/>
                <w:szCs w:val="24"/>
                <w:lang w:val="en-US" w:eastAsia="zh-CN"/>
              </w:rPr>
              <w:t>实施一批重点区域美丽蓝天建设工程。</w:t>
            </w:r>
          </w:p>
          <w:p w14:paraId="00491285">
            <w:pPr>
              <w:keepNext w:val="0"/>
              <w:keepLines w:val="0"/>
              <w:pageBreakBefore w:val="0"/>
              <w:widowControl w:val="0"/>
              <w:kinsoku/>
              <w:wordWrap/>
              <w:overflowPunct/>
              <w:topLinePunct w:val="0"/>
              <w:autoSpaceDE/>
              <w:autoSpaceDN/>
              <w:bidi w:val="0"/>
              <w:adjustRightInd/>
              <w:snapToGrid w:val="0"/>
              <w:spacing w:line="360" w:lineRule="auto"/>
              <w:ind w:firstLine="602"/>
              <w:textAlignment w:val="auto"/>
              <w:rPr>
                <w:rFonts w:hint="eastAsia" w:ascii="仿宋_GB2312" w:hAnsi="Times New Roman" w:cs="Times New Roman"/>
                <w:b w:val="0"/>
                <w:bCs w:val="0"/>
                <w:color w:val="auto"/>
                <w:sz w:val="24"/>
                <w:szCs w:val="24"/>
                <w:lang w:val="en-US" w:eastAsia="zh-CN"/>
              </w:rPr>
            </w:pPr>
            <w:r>
              <w:rPr>
                <w:rFonts w:hint="default" w:ascii="仿宋_GB2312" w:hAnsi="Times New Roman" w:cs="Times New Roman"/>
                <w:b/>
                <w:bCs/>
                <w:color w:val="auto"/>
                <w:sz w:val="24"/>
                <w:szCs w:val="24"/>
                <w:lang w:val="en-US" w:eastAsia="zh-CN"/>
              </w:rPr>
              <w:t>低效产能淘汰压减：</w:t>
            </w:r>
            <w:r>
              <w:rPr>
                <w:rFonts w:hint="default" w:ascii="仿宋_GB2312" w:hAnsi="Times New Roman" w:cs="Times New Roman"/>
                <w:b w:val="0"/>
                <w:bCs w:val="0"/>
                <w:color w:val="auto"/>
                <w:sz w:val="24"/>
                <w:szCs w:val="24"/>
                <w:lang w:val="en-US" w:eastAsia="zh-CN"/>
              </w:rPr>
              <w:t>推进6000万标砖/年以下烧结砖企业整合淘汰，加快老旧化工生产装置、储罐退出或更新改造。</w:t>
            </w:r>
          </w:p>
          <w:p w14:paraId="44163597">
            <w:pPr>
              <w:keepNext w:val="0"/>
              <w:keepLines w:val="0"/>
              <w:pageBreakBefore w:val="0"/>
              <w:widowControl w:val="0"/>
              <w:kinsoku/>
              <w:wordWrap/>
              <w:overflowPunct/>
              <w:topLinePunct w:val="0"/>
              <w:autoSpaceDE/>
              <w:autoSpaceDN/>
              <w:bidi w:val="0"/>
              <w:adjustRightInd/>
              <w:snapToGrid w:val="0"/>
              <w:spacing w:line="360" w:lineRule="auto"/>
              <w:ind w:firstLine="602"/>
              <w:textAlignment w:val="auto"/>
              <w:rPr>
                <w:rFonts w:hint="eastAsia" w:ascii="仿宋_GB2312" w:hAnsi="Times New Roman" w:cs="Times New Roman"/>
                <w:b w:val="0"/>
                <w:bCs w:val="0"/>
                <w:color w:val="auto"/>
                <w:sz w:val="24"/>
                <w:szCs w:val="24"/>
                <w:lang w:val="en-US" w:eastAsia="zh-CN"/>
              </w:rPr>
            </w:pPr>
            <w:r>
              <w:rPr>
                <w:rFonts w:hint="eastAsia" w:ascii="仿宋_GB2312" w:hAnsi="Times New Roman" w:cs="Times New Roman"/>
                <w:b/>
                <w:bCs/>
                <w:color w:val="auto"/>
                <w:sz w:val="24"/>
                <w:szCs w:val="24"/>
                <w:lang w:val="en-US" w:eastAsia="zh-CN"/>
              </w:rPr>
              <w:t>重点行业超低排放改造：</w:t>
            </w:r>
            <w:r>
              <w:rPr>
                <w:rFonts w:hint="eastAsia" w:ascii="仿宋_GB2312" w:hAnsi="Times New Roman" w:cs="Times New Roman"/>
                <w:b w:val="0"/>
                <w:bCs w:val="0"/>
                <w:color w:val="auto"/>
                <w:sz w:val="24"/>
                <w:szCs w:val="24"/>
                <w:lang w:val="en-US" w:eastAsia="zh-CN"/>
              </w:rPr>
              <w:t>持续推动水泥熟料、焦化产能超低排放改造，实施废气有组织排放治理、料场封闭等无组织排放控制、清洁运输改造工程。</w:t>
            </w:r>
          </w:p>
          <w:p w14:paraId="4B0C6E34">
            <w:pPr>
              <w:keepNext w:val="0"/>
              <w:keepLines w:val="0"/>
              <w:pageBreakBefore w:val="0"/>
              <w:widowControl w:val="0"/>
              <w:kinsoku/>
              <w:wordWrap/>
              <w:overflowPunct/>
              <w:topLinePunct w:val="0"/>
              <w:autoSpaceDE/>
              <w:autoSpaceDN/>
              <w:bidi w:val="0"/>
              <w:adjustRightInd/>
              <w:snapToGrid w:val="0"/>
              <w:spacing w:line="360" w:lineRule="auto"/>
              <w:ind w:firstLine="602"/>
              <w:textAlignment w:val="auto"/>
              <w:rPr>
                <w:rFonts w:hint="eastAsia" w:ascii="仿宋_GB2312" w:hAnsi="Times New Roman" w:cs="Times New Roman"/>
                <w:b w:val="0"/>
                <w:bCs w:val="0"/>
                <w:color w:val="auto"/>
                <w:sz w:val="24"/>
                <w:szCs w:val="24"/>
                <w:lang w:val="en-US" w:eastAsia="zh-CN"/>
              </w:rPr>
            </w:pPr>
            <w:r>
              <w:rPr>
                <w:rFonts w:hint="eastAsia" w:ascii="仿宋_GB2312" w:hAnsi="Times New Roman" w:cs="Times New Roman"/>
                <w:b/>
                <w:bCs/>
                <w:color w:val="auto"/>
                <w:sz w:val="24"/>
                <w:szCs w:val="24"/>
                <w:lang w:val="en-US" w:eastAsia="zh-CN"/>
              </w:rPr>
              <w:t>挥发性有机物（VOCs）综合整治：</w:t>
            </w:r>
            <w:r>
              <w:rPr>
                <w:rFonts w:hint="eastAsia" w:ascii="仿宋_GB2312" w:hAnsi="Times New Roman" w:cs="Times New Roman"/>
                <w:b w:val="0"/>
                <w:bCs w:val="0"/>
                <w:color w:val="auto"/>
                <w:sz w:val="24"/>
                <w:szCs w:val="24"/>
                <w:lang w:val="en-US" w:eastAsia="zh-CN"/>
              </w:rPr>
              <w:t>针对涂装、印刷等重点行业实施源头替代、过程控制和末端治理，推广低VOCs含量涂料、油墨、胶黏剂，加强设备密封和废气收集，安装高效治理设施。</w:t>
            </w:r>
          </w:p>
          <w:p w14:paraId="12D92DD4">
            <w:pPr>
              <w:keepNext w:val="0"/>
              <w:keepLines w:val="0"/>
              <w:pageBreakBefore w:val="0"/>
              <w:widowControl w:val="0"/>
              <w:kinsoku/>
              <w:wordWrap/>
              <w:overflowPunct/>
              <w:topLinePunct w:val="0"/>
              <w:autoSpaceDE/>
              <w:autoSpaceDN/>
              <w:bidi w:val="0"/>
              <w:adjustRightInd/>
              <w:snapToGrid w:val="0"/>
              <w:spacing w:line="360" w:lineRule="auto"/>
              <w:ind w:firstLine="602"/>
              <w:textAlignment w:val="auto"/>
              <w:rPr>
                <w:rFonts w:hint="eastAsia" w:ascii="仿宋_GB2312" w:hAnsi="Times New Roman" w:cs="Times New Roman"/>
                <w:b/>
                <w:bCs/>
                <w:color w:val="auto"/>
                <w:sz w:val="24"/>
                <w:szCs w:val="24"/>
                <w:lang w:val="en-US" w:eastAsia="zh-CN"/>
              </w:rPr>
            </w:pPr>
            <w:r>
              <w:rPr>
                <w:rFonts w:hint="default" w:ascii="仿宋_GB2312" w:hAnsi="Times New Roman" w:cs="Times New Roman"/>
                <w:b/>
                <w:bCs/>
                <w:color w:val="auto"/>
                <w:sz w:val="24"/>
                <w:szCs w:val="24"/>
                <w:lang w:val="en-US" w:eastAsia="zh-CN"/>
              </w:rPr>
              <w:t>实施燃煤锅炉关停替代：</w:t>
            </w:r>
            <w:r>
              <w:rPr>
                <w:rFonts w:hint="default" w:ascii="仿宋_GB2312" w:hAnsi="Times New Roman" w:cs="Times New Roman"/>
                <w:b w:val="0"/>
                <w:bCs w:val="0"/>
                <w:color w:val="auto"/>
                <w:sz w:val="24"/>
                <w:szCs w:val="24"/>
                <w:lang w:val="en-US" w:eastAsia="zh-CN"/>
              </w:rPr>
              <w:t>制定35蒸吨/小时及以下燃煤锅炉淘汰计划，推动不达标、非专用生物质锅炉淘汰，鼓励4蒸吨及以下生物质锅炉升级改造。</w:t>
            </w:r>
          </w:p>
          <w:p w14:paraId="5ED9A3A1">
            <w:pPr>
              <w:keepNext w:val="0"/>
              <w:keepLines w:val="0"/>
              <w:pageBreakBefore w:val="0"/>
              <w:widowControl w:val="0"/>
              <w:kinsoku/>
              <w:wordWrap/>
              <w:overflowPunct/>
              <w:topLinePunct w:val="0"/>
              <w:autoSpaceDE/>
              <w:autoSpaceDN/>
              <w:bidi w:val="0"/>
              <w:adjustRightInd/>
              <w:snapToGrid w:val="0"/>
              <w:spacing w:line="360" w:lineRule="auto"/>
              <w:ind w:firstLine="602"/>
              <w:textAlignment w:val="auto"/>
              <w:rPr>
                <w:rFonts w:hint="default" w:ascii="仿宋_GB2312"/>
                <w:color w:val="auto"/>
                <w:sz w:val="30"/>
                <w:szCs w:val="30"/>
                <w:lang w:val="en-US" w:eastAsia="zh-CN"/>
              </w:rPr>
            </w:pPr>
            <w:r>
              <w:rPr>
                <w:rFonts w:hint="eastAsia" w:ascii="仿宋_GB2312" w:hAnsi="Times New Roman" w:cs="Times New Roman"/>
                <w:b/>
                <w:bCs/>
                <w:color w:val="auto"/>
                <w:sz w:val="24"/>
                <w:szCs w:val="24"/>
                <w:lang w:val="en-US" w:eastAsia="zh-CN"/>
              </w:rPr>
              <w:t>零碳园区建设：</w:t>
            </w:r>
            <w:r>
              <w:rPr>
                <w:rFonts w:hint="eastAsia" w:ascii="仿宋_GB2312" w:hAnsi="Times New Roman" w:cs="Times New Roman"/>
                <w:b w:val="0"/>
                <w:bCs w:val="0"/>
                <w:color w:val="auto"/>
                <w:sz w:val="24"/>
                <w:szCs w:val="24"/>
                <w:lang w:val="en-US" w:eastAsia="zh-CN"/>
              </w:rPr>
              <w:t>建设大冶市零碳园区，实施光伏、储能、充电桩和节能改造工程，</w:t>
            </w:r>
            <w:r>
              <w:rPr>
                <w:rFonts w:hint="eastAsia" w:ascii="仿宋_GB2312" w:cs="Times New Roman"/>
                <w:b w:val="0"/>
                <w:bCs w:val="0"/>
                <w:color w:val="auto"/>
                <w:sz w:val="24"/>
                <w:szCs w:val="24"/>
                <w:lang w:val="en-US" w:eastAsia="zh-CN"/>
              </w:rPr>
              <w:t>到2030</w:t>
            </w:r>
            <w:r>
              <w:rPr>
                <w:rFonts w:hint="eastAsia" w:ascii="仿宋_GB2312" w:hAnsi="Times New Roman" w:cs="Times New Roman"/>
                <w:b w:val="0"/>
                <w:bCs w:val="0"/>
                <w:color w:val="auto"/>
                <w:sz w:val="24"/>
                <w:szCs w:val="24"/>
                <w:lang w:val="en-US" w:eastAsia="zh-CN"/>
              </w:rPr>
              <w:t>年前实现碳达峰（206万吨</w:t>
            </w:r>
            <w:r>
              <w:rPr>
                <w:rFonts w:hint="eastAsia" w:ascii="仿宋_GB2312" w:cs="Times New Roman"/>
                <w:b w:val="0"/>
                <w:bCs w:val="0"/>
                <w:color w:val="auto"/>
                <w:sz w:val="24"/>
                <w:szCs w:val="24"/>
                <w:lang w:val="en-US" w:eastAsia="zh-CN"/>
              </w:rPr>
              <w:t>CO₂</w:t>
            </w:r>
            <w:r>
              <w:rPr>
                <w:rFonts w:hint="eastAsia" w:ascii="仿宋_GB2312" w:hAnsi="Times New Roman" w:cs="Times New Roman"/>
                <w:b w:val="0"/>
                <w:bCs w:val="0"/>
                <w:color w:val="auto"/>
                <w:sz w:val="24"/>
                <w:szCs w:val="24"/>
                <w:lang w:val="en-US" w:eastAsia="zh-CN"/>
              </w:rPr>
              <w:t>以内），清洁能源占比达50</w:t>
            </w:r>
            <w:r>
              <w:rPr>
                <w:rFonts w:hint="eastAsia" w:ascii="仿宋_GB2312" w:cs="Times New Roman"/>
                <w:b w:val="0"/>
                <w:bCs w:val="0"/>
                <w:color w:val="auto"/>
                <w:sz w:val="24"/>
                <w:szCs w:val="24"/>
                <w:lang w:val="en-US" w:eastAsia="zh-CN"/>
              </w:rPr>
              <w:t>%</w:t>
            </w:r>
            <w:r>
              <w:rPr>
                <w:rFonts w:hint="eastAsia" w:ascii="仿宋_GB2312" w:hAnsi="Times New Roman" w:cs="Times New Roman"/>
                <w:b w:val="0"/>
                <w:bCs w:val="0"/>
                <w:color w:val="auto"/>
                <w:sz w:val="24"/>
                <w:szCs w:val="24"/>
                <w:lang w:val="en-US" w:eastAsia="zh-CN"/>
              </w:rPr>
              <w:t>。</w:t>
            </w:r>
          </w:p>
        </w:tc>
      </w:tr>
    </w:tbl>
    <w:p w14:paraId="699F8171">
      <w:pPr>
        <w:pStyle w:val="22"/>
        <w:keepNext/>
        <w:keepLines/>
        <w:pageBreakBefore w:val="0"/>
        <w:widowControl w:val="0"/>
        <w:kinsoku/>
        <w:wordWrap/>
        <w:overflowPunct/>
        <w:topLinePunct w:val="0"/>
        <w:autoSpaceDE/>
        <w:autoSpaceDN/>
        <w:bidi w:val="0"/>
        <w:adjustRightInd/>
        <w:snapToGrid w:val="0"/>
        <w:ind w:firstLine="640" w:firstLineChars="200"/>
        <w:jc w:val="left"/>
        <w:textAlignment w:val="auto"/>
        <w:rPr>
          <w:rFonts w:hint="eastAsia" w:ascii="Times New Roman" w:hAnsi="Times New Roman" w:eastAsia="方正小标宋_GBK" w:cs="Times New Roman"/>
          <w:lang w:val="en-US" w:eastAsia="zh-CN" w:bidi="ar"/>
        </w:rPr>
      </w:pPr>
      <w:bookmarkStart w:id="24" w:name="_Toc23139"/>
      <w:bookmarkStart w:id="25" w:name="_Toc26789"/>
      <w:bookmarkStart w:id="26" w:name="_Toc13300"/>
      <w:r>
        <w:rPr>
          <w:rFonts w:hint="eastAsia" w:ascii="Times New Roman" w:hAnsi="Times New Roman" w:cs="Times New Roman"/>
          <w:lang w:val="en-US" w:eastAsia="zh-CN" w:bidi="ar"/>
        </w:rPr>
        <w:t>四、持续深入打好碧水保卫战</w:t>
      </w:r>
      <w:bookmarkEnd w:id="24"/>
      <w:bookmarkEnd w:id="25"/>
      <w:bookmarkEnd w:id="26"/>
    </w:p>
    <w:p w14:paraId="338DDCB4">
      <w:pPr>
        <w:pStyle w:val="3"/>
        <w:keepNext w:val="0"/>
        <w:keepLines w:val="0"/>
        <w:pageBreakBefore w:val="0"/>
        <w:widowControl w:val="0"/>
        <w:numPr>
          <w:ilvl w:val="0"/>
          <w:numId w:val="0"/>
        </w:numPr>
        <w:kinsoku/>
        <w:wordWrap/>
        <w:overflowPunct/>
        <w:topLinePunct w:val="0"/>
        <w:autoSpaceDE/>
        <w:autoSpaceDN/>
        <w:bidi w:val="0"/>
        <w:adjustRightInd/>
        <w:snapToGrid w:val="0"/>
        <w:spacing w:before="0" w:beforeLines="0" w:after="0" w:afterLines="0"/>
        <w:ind w:firstLine="640" w:firstLineChars="200"/>
        <w:jc w:val="left"/>
        <w:textAlignment w:val="auto"/>
        <w:rPr>
          <w:rFonts w:hint="eastAsia" w:ascii="Times New Roman" w:hAnsi="Times New Roman" w:eastAsia="仿宋_GB2312" w:cs="Times New Roman"/>
          <w:spacing w:val="1"/>
          <w:kern w:val="2"/>
          <w:sz w:val="32"/>
          <w:szCs w:val="32"/>
          <w:lang w:val="en-US" w:eastAsia="zh-CN" w:bidi="ar-SA"/>
        </w:rPr>
      </w:pPr>
      <w:bookmarkStart w:id="27" w:name="_Toc26062"/>
      <w:bookmarkStart w:id="28" w:name="_Toc19065"/>
      <w:bookmarkStart w:id="29" w:name="_Toc1536"/>
      <w:bookmarkStart w:id="30" w:name="_Toc32051"/>
      <w:r>
        <w:rPr>
          <w:rFonts w:hint="eastAsia" w:ascii="楷体_GB2312" w:hAnsi="楷体_GB2312" w:eastAsia="楷体_GB2312" w:cs="楷体_GB2312"/>
          <w:lang w:val="en-US" w:eastAsia="zh-CN"/>
        </w:rPr>
        <w:t>（八）巩固深化水环境综合治理</w:t>
      </w:r>
      <w:bookmarkEnd w:id="27"/>
      <w:bookmarkEnd w:id="28"/>
      <w:bookmarkEnd w:id="29"/>
      <w:bookmarkEnd w:id="30"/>
      <w:r>
        <w:rPr>
          <w:rFonts w:hint="eastAsia" w:ascii="楷体_GB2312" w:hAnsi="楷体_GB2312" w:eastAsia="楷体_GB2312" w:cs="楷体_GB2312"/>
          <w:lang w:val="en-US" w:eastAsia="zh-CN"/>
        </w:rPr>
        <w:t>。</w:t>
      </w:r>
      <w:r>
        <w:rPr>
          <w:rFonts w:hint="eastAsia" w:ascii="Times New Roman" w:hAnsi="Times New Roman" w:eastAsia="仿宋_GB2312" w:cs="Times New Roman"/>
          <w:spacing w:val="1"/>
          <w:kern w:val="2"/>
          <w:sz w:val="32"/>
          <w:szCs w:val="32"/>
          <w:lang w:val="en-US" w:eastAsia="zh-CN" w:bidi="ar-SA"/>
        </w:rPr>
        <w:t>严格落实流域分区分类管控要求，有序开展市域水功能区划优化调整，逐步实现跨乡镇地表水断面水质监测考核全覆盖。持续开展工业园区污水集中处理设施建设改造和水污染问题排查整治，推动设施常态化稳定运行。提升生活污水收集处理效能，加快补齐老城区、城乡结合部管网短板，持续推进雨污分流改造。强化畜禽粪污资源化利用和养殖尾水处理，规范设置排放口并加强监测。实施不稳定达标断面提质行动，推进群众身边中小水体提标整治。加强饮用水水源保护区规范化建设，开展集中式水源环境状况评估，规范保护区矢量数据，构建“一张图”。</w:t>
      </w:r>
    </w:p>
    <w:p w14:paraId="55601EA9">
      <w:pPr>
        <w:pStyle w:val="3"/>
        <w:keepNext w:val="0"/>
        <w:keepLines w:val="0"/>
        <w:pageBreakBefore w:val="0"/>
        <w:widowControl w:val="0"/>
        <w:numPr>
          <w:ilvl w:val="0"/>
          <w:numId w:val="0"/>
        </w:numPr>
        <w:kinsoku/>
        <w:wordWrap/>
        <w:overflowPunct/>
        <w:topLinePunct w:val="0"/>
        <w:autoSpaceDE/>
        <w:autoSpaceDN/>
        <w:bidi w:val="0"/>
        <w:adjustRightInd/>
        <w:snapToGrid w:val="0"/>
        <w:spacing w:before="0" w:beforeLines="0" w:after="0" w:afterLines="0"/>
        <w:ind w:firstLine="640" w:firstLineChars="200"/>
        <w:jc w:val="both"/>
        <w:textAlignment w:val="auto"/>
        <w:rPr>
          <w:rFonts w:hint="eastAsia" w:ascii="Times New Roman" w:hAnsi="Times New Roman" w:eastAsia="仿宋_GB2312" w:cs="Times New Roman"/>
          <w:spacing w:val="1"/>
          <w:kern w:val="2"/>
          <w:sz w:val="32"/>
          <w:szCs w:val="32"/>
          <w:lang w:val="en-US" w:eastAsia="zh-CN" w:bidi="ar-SA"/>
        </w:rPr>
      </w:pPr>
      <w:bookmarkStart w:id="31" w:name="_Toc4571"/>
      <w:bookmarkStart w:id="32" w:name="_Toc19865"/>
      <w:bookmarkStart w:id="33" w:name="_Toc9434"/>
      <w:bookmarkStart w:id="34" w:name="_Toc18258"/>
      <w:r>
        <w:rPr>
          <w:rFonts w:hint="eastAsia" w:ascii="楷体_GB2312" w:hAnsi="楷体_GB2312" w:eastAsia="楷体_GB2312" w:cs="楷体_GB2312"/>
          <w:lang w:eastAsia="zh-CN"/>
        </w:rPr>
        <w:t>（九）维护水生态系统健康。</w:t>
      </w:r>
      <w:r>
        <w:rPr>
          <w:rFonts w:hint="eastAsia" w:ascii="Times New Roman" w:hAnsi="Times New Roman" w:eastAsia="仿宋_GB2312" w:cs="Times New Roman"/>
          <w:spacing w:val="1"/>
          <w:kern w:val="2"/>
          <w:sz w:val="32"/>
          <w:szCs w:val="32"/>
          <w:lang w:val="en-US" w:eastAsia="zh-CN" w:bidi="ar-SA"/>
        </w:rPr>
        <w:t>开展长江黄石段及大冶湖、网湖、保安湖等重点湖库水生态调查，探索重点湖泊生态健康状况评估。推进生态缓冲带保护与修复，建设滨水湿地、小微湿地群，实施水草培育、底泥协同控制、入湖港渠生态修复，加强富营养化和水华预警防控。加快保安湖国家湿地公园、网湖湿地自然保护区等重点湿地恢复与建设。</w:t>
      </w:r>
      <w:bookmarkEnd w:id="31"/>
      <w:bookmarkEnd w:id="32"/>
      <w:bookmarkEnd w:id="33"/>
      <w:bookmarkEnd w:id="34"/>
    </w:p>
    <w:p w14:paraId="51B120FA">
      <w:pPr>
        <w:pStyle w:val="3"/>
        <w:keepNext w:val="0"/>
        <w:keepLines w:val="0"/>
        <w:pageBreakBefore w:val="0"/>
        <w:widowControl w:val="0"/>
        <w:numPr>
          <w:ilvl w:val="0"/>
          <w:numId w:val="0"/>
        </w:numPr>
        <w:kinsoku/>
        <w:wordWrap/>
        <w:overflowPunct/>
        <w:topLinePunct w:val="0"/>
        <w:autoSpaceDE/>
        <w:autoSpaceDN/>
        <w:bidi w:val="0"/>
        <w:adjustRightInd/>
        <w:snapToGrid w:val="0"/>
        <w:spacing w:before="0" w:beforeLines="0" w:after="0" w:afterLines="0"/>
        <w:ind w:firstLine="640" w:firstLineChars="200"/>
        <w:jc w:val="both"/>
        <w:textAlignment w:val="auto"/>
        <w:rPr>
          <w:rFonts w:hint="eastAsia" w:ascii="Times New Roman" w:hAnsi="Times New Roman" w:eastAsia="仿宋_GB2312" w:cs="Times New Roman"/>
          <w:spacing w:val="1"/>
          <w:kern w:val="2"/>
          <w:sz w:val="32"/>
          <w:szCs w:val="32"/>
          <w:lang w:val="en-US" w:eastAsia="zh-CN" w:bidi="ar-SA"/>
        </w:rPr>
      </w:pPr>
      <w:bookmarkStart w:id="35" w:name="_Toc20220"/>
      <w:bookmarkStart w:id="36" w:name="_Toc23067"/>
      <w:bookmarkStart w:id="37" w:name="_Toc23332"/>
      <w:bookmarkStart w:id="38" w:name="_Toc11819"/>
      <w:r>
        <w:rPr>
          <w:rFonts w:hint="eastAsia" w:ascii="楷体_GB2312" w:hAnsi="楷体_GB2312" w:eastAsia="楷体_GB2312" w:cs="楷体_GB2312"/>
          <w:lang w:val="en-US" w:eastAsia="zh-CN"/>
        </w:rPr>
        <w:t>（十）提升水资源保障能力</w:t>
      </w:r>
      <w:bookmarkEnd w:id="35"/>
      <w:bookmarkEnd w:id="36"/>
      <w:bookmarkEnd w:id="37"/>
      <w:bookmarkEnd w:id="38"/>
      <w:r>
        <w:rPr>
          <w:rFonts w:hint="eastAsia" w:ascii="楷体_GB2312" w:hAnsi="楷体_GB2312" w:eastAsia="楷体_GB2312" w:cs="楷体_GB2312"/>
          <w:lang w:val="en-US" w:eastAsia="zh-CN"/>
        </w:rPr>
        <w:t>。</w:t>
      </w:r>
      <w:r>
        <w:rPr>
          <w:rFonts w:hint="eastAsia" w:ascii="Times New Roman" w:hAnsi="Times New Roman" w:eastAsia="仿宋_GB2312" w:cs="Times New Roman"/>
          <w:spacing w:val="1"/>
          <w:kern w:val="2"/>
          <w:sz w:val="32"/>
          <w:szCs w:val="32"/>
          <w:lang w:val="en-US" w:eastAsia="zh-CN" w:bidi="ar-SA"/>
        </w:rPr>
        <w:t>对接“荆楚安澜”现代水网，统筹富水、王英水库等骨干水源调配工程，实施中小引调水和水系连通工程，推动市县水网协同。强化水工程生态流量泄放管控，健全富河、大冶湖等重点水域生态流量监测预警机制，开展生态调度和生态补水，鼓励再生水用于生态补水。</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47C9B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8296" w:type="dxa"/>
            <w:noWrap w:val="0"/>
            <w:vAlign w:val="center"/>
          </w:tcPr>
          <w:p w14:paraId="5C80EC3A">
            <w:pPr>
              <w:widowControl/>
              <w:adjustRightInd w:val="0"/>
              <w:spacing w:line="240" w:lineRule="auto"/>
              <w:ind w:firstLine="0" w:firstLineChars="0"/>
              <w:jc w:val="center"/>
              <w:rPr>
                <w:rFonts w:ascii="仿宋_GB2312"/>
                <w:b/>
                <w:bCs/>
                <w:color w:val="auto"/>
                <w:sz w:val="30"/>
                <w:szCs w:val="30"/>
              </w:rPr>
            </w:pPr>
            <w:r>
              <w:rPr>
                <w:rFonts w:hint="eastAsia" w:ascii="楷体_GB2312" w:hAnsi="楷体_GB2312" w:eastAsia="楷体_GB2312" w:cs="楷体_GB2312"/>
                <w:b w:val="0"/>
                <w:bCs w:val="0"/>
                <w:sz w:val="24"/>
                <w:szCs w:val="24"/>
                <w:lang w:val="en-US" w:eastAsia="zh-CN"/>
              </w:rPr>
              <w:t>专栏5  碧水工程</w:t>
            </w:r>
          </w:p>
        </w:tc>
      </w:tr>
      <w:tr w14:paraId="70B34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noWrap w:val="0"/>
            <w:vAlign w:val="top"/>
          </w:tcPr>
          <w:p w14:paraId="265E4EF4">
            <w:pPr>
              <w:keepNext w:val="0"/>
              <w:keepLines w:val="0"/>
              <w:pageBreakBefore w:val="0"/>
              <w:widowControl w:val="0"/>
              <w:kinsoku/>
              <w:wordWrap/>
              <w:overflowPunct/>
              <w:topLinePunct w:val="0"/>
              <w:autoSpaceDE/>
              <w:autoSpaceDN/>
              <w:bidi w:val="0"/>
              <w:adjustRightInd/>
              <w:snapToGrid w:val="0"/>
              <w:spacing w:line="360" w:lineRule="auto"/>
              <w:ind w:firstLine="602"/>
              <w:textAlignment w:val="auto"/>
              <w:rPr>
                <w:rFonts w:hint="default" w:ascii="仿宋_GB2312" w:hAnsi="Times New Roman" w:cs="Times New Roman"/>
                <w:b w:val="0"/>
                <w:bCs w:val="0"/>
                <w:color w:val="auto"/>
                <w:sz w:val="24"/>
                <w:szCs w:val="24"/>
                <w:lang w:val="en-US" w:eastAsia="zh-CN"/>
              </w:rPr>
            </w:pPr>
            <w:r>
              <w:rPr>
                <w:rFonts w:hint="eastAsia" w:ascii="仿宋_GB2312" w:hAnsi="Times New Roman" w:cs="Times New Roman"/>
                <w:b/>
                <w:bCs/>
                <w:color w:val="auto"/>
                <w:sz w:val="24"/>
                <w:szCs w:val="24"/>
                <w:lang w:val="en-US" w:eastAsia="zh-CN"/>
              </w:rPr>
              <w:t>水环境治理：</w:t>
            </w:r>
            <w:r>
              <w:rPr>
                <w:rFonts w:hint="eastAsia" w:ascii="仿宋_GB2312" w:hAnsi="Times New Roman" w:cs="Times New Roman"/>
                <w:b w:val="0"/>
                <w:bCs w:val="0"/>
                <w:color w:val="auto"/>
                <w:sz w:val="24"/>
                <w:szCs w:val="24"/>
                <w:lang w:val="en-US" w:eastAsia="zh-CN"/>
              </w:rPr>
              <w:t>实施阳新下洋湖、大泉湖、青山湖、青港湖水环境综合治理和湖滨缓冲带生态修复工程，因地制宜构建生态自净系统。</w:t>
            </w:r>
          </w:p>
          <w:p w14:paraId="0D162F3B">
            <w:pPr>
              <w:keepNext w:val="0"/>
              <w:keepLines w:val="0"/>
              <w:pageBreakBefore w:val="0"/>
              <w:widowControl w:val="0"/>
              <w:kinsoku/>
              <w:wordWrap/>
              <w:overflowPunct/>
              <w:topLinePunct w:val="0"/>
              <w:autoSpaceDE/>
              <w:autoSpaceDN/>
              <w:bidi w:val="0"/>
              <w:adjustRightInd/>
              <w:snapToGrid w:val="0"/>
              <w:spacing w:line="360" w:lineRule="auto"/>
              <w:ind w:firstLine="602"/>
              <w:textAlignment w:val="auto"/>
              <w:rPr>
                <w:rFonts w:hint="eastAsia" w:ascii="仿宋_GB2312" w:hAnsi="Times New Roman" w:cs="Times New Roman"/>
                <w:b w:val="0"/>
                <w:bCs w:val="0"/>
                <w:color w:val="auto"/>
                <w:sz w:val="24"/>
                <w:szCs w:val="24"/>
                <w:lang w:val="en-US" w:eastAsia="zh-CN"/>
              </w:rPr>
            </w:pPr>
            <w:r>
              <w:rPr>
                <w:rFonts w:hint="eastAsia" w:ascii="仿宋_GB2312" w:hAnsi="Times New Roman" w:cs="Times New Roman"/>
                <w:b/>
                <w:bCs/>
                <w:color w:val="auto"/>
                <w:sz w:val="24"/>
                <w:szCs w:val="24"/>
                <w:lang w:val="en-US" w:eastAsia="zh-CN"/>
              </w:rPr>
              <w:t>水生态修复：</w:t>
            </w:r>
            <w:r>
              <w:rPr>
                <w:rFonts w:hint="eastAsia" w:ascii="仿宋_GB2312" w:hAnsi="Times New Roman" w:cs="Times New Roman"/>
                <w:b w:val="0"/>
                <w:bCs w:val="0"/>
                <w:color w:val="auto"/>
                <w:sz w:val="24"/>
                <w:szCs w:val="24"/>
                <w:lang w:val="en-US" w:eastAsia="zh-CN"/>
              </w:rPr>
              <w:t>实施春湖、保安湖、网湖、北湖、马蹄湖等重点湖泊清淤、生态护坡、水生植被恢复和生态浮岛构建，开展环境DNA水生生物多样性调查评估，构建青头潜鸭、白头鹤等珍稀物种保护网络和生物多样性观测站。</w:t>
            </w:r>
          </w:p>
          <w:p w14:paraId="677C6EFA">
            <w:pPr>
              <w:keepNext w:val="0"/>
              <w:keepLines w:val="0"/>
              <w:pageBreakBefore w:val="0"/>
              <w:widowControl w:val="0"/>
              <w:kinsoku/>
              <w:wordWrap/>
              <w:overflowPunct/>
              <w:topLinePunct w:val="0"/>
              <w:autoSpaceDE/>
              <w:autoSpaceDN/>
              <w:bidi w:val="0"/>
              <w:adjustRightInd/>
              <w:snapToGrid w:val="0"/>
              <w:spacing w:line="360" w:lineRule="auto"/>
              <w:ind w:firstLine="602"/>
              <w:textAlignment w:val="auto"/>
              <w:rPr>
                <w:rFonts w:hint="default" w:ascii="仿宋_GB2312"/>
                <w:color w:val="auto"/>
                <w:sz w:val="30"/>
                <w:szCs w:val="30"/>
                <w:highlight w:val="none"/>
                <w:lang w:val="en-US" w:eastAsia="zh-CN"/>
              </w:rPr>
            </w:pPr>
            <w:r>
              <w:rPr>
                <w:rFonts w:hint="eastAsia" w:ascii="仿宋_GB2312" w:hAnsi="Times New Roman" w:cs="Times New Roman"/>
                <w:b/>
                <w:bCs/>
                <w:color w:val="auto"/>
                <w:sz w:val="24"/>
                <w:szCs w:val="24"/>
                <w:lang w:val="en-US" w:eastAsia="zh-CN"/>
              </w:rPr>
              <w:t>生态用水保障：</w:t>
            </w:r>
            <w:r>
              <w:rPr>
                <w:rFonts w:hint="eastAsia" w:ascii="仿宋_GB2312" w:hAnsi="Times New Roman" w:cs="Times New Roman"/>
                <w:b w:val="0"/>
                <w:bCs w:val="0"/>
                <w:color w:val="auto"/>
                <w:sz w:val="24"/>
                <w:szCs w:val="24"/>
                <w:lang w:val="en-US" w:eastAsia="zh-CN"/>
              </w:rPr>
              <w:t>实施生态补水与水系连通工程，建设网湖补水闸、连通涵渠，整治入湖沟渠。建设2万吨级再生水清水池和定向输水管网，实现再生水深度处理与工业回用。</w:t>
            </w:r>
          </w:p>
        </w:tc>
      </w:tr>
    </w:tbl>
    <w:p w14:paraId="22983B91">
      <w:pPr>
        <w:pStyle w:val="22"/>
        <w:keepNext/>
        <w:keepLines/>
        <w:pageBreakBefore w:val="0"/>
        <w:widowControl w:val="0"/>
        <w:kinsoku/>
        <w:wordWrap/>
        <w:overflowPunct/>
        <w:topLinePunct w:val="0"/>
        <w:autoSpaceDE/>
        <w:autoSpaceDN/>
        <w:bidi w:val="0"/>
        <w:adjustRightInd/>
        <w:snapToGrid w:val="0"/>
        <w:spacing w:line="580" w:lineRule="exact"/>
        <w:ind w:firstLine="640" w:firstLineChars="200"/>
        <w:jc w:val="both"/>
        <w:textAlignment w:val="auto"/>
        <w:rPr>
          <w:rFonts w:hint="default" w:ascii="Times New Roman" w:hAnsi="Times New Roman" w:eastAsia="方正小标宋_GBK"/>
          <w:lang w:val="en-US" w:eastAsia="zh-CN"/>
        </w:rPr>
      </w:pPr>
      <w:bookmarkStart w:id="39" w:name="_Toc25428"/>
      <w:bookmarkStart w:id="40" w:name="_Toc16143"/>
      <w:bookmarkStart w:id="41" w:name="_Toc11751"/>
      <w:r>
        <w:rPr>
          <w:rFonts w:hint="eastAsia" w:ascii="Times New Roman" w:hAnsi="Times New Roman"/>
          <w:lang w:val="en-US" w:eastAsia="zh-CN"/>
        </w:rPr>
        <w:t>五、持续深入打好净土保卫战</w:t>
      </w:r>
      <w:bookmarkEnd w:id="39"/>
      <w:bookmarkEnd w:id="40"/>
      <w:bookmarkEnd w:id="41"/>
    </w:p>
    <w:p w14:paraId="2035FC62">
      <w:pPr>
        <w:pStyle w:val="3"/>
        <w:keepNext w:val="0"/>
        <w:keepLines w:val="0"/>
        <w:pageBreakBefore w:val="0"/>
        <w:widowControl w:val="0"/>
        <w:kinsoku/>
        <w:wordWrap/>
        <w:overflowPunct/>
        <w:topLinePunct w:val="0"/>
        <w:autoSpaceDE/>
        <w:autoSpaceDN/>
        <w:bidi w:val="0"/>
        <w:adjustRightInd/>
        <w:snapToGrid w:val="0"/>
        <w:spacing w:before="0" w:beforeLines="0" w:after="0" w:afterLines="0"/>
        <w:ind w:firstLine="640" w:firstLineChars="200"/>
        <w:jc w:val="both"/>
        <w:textAlignment w:val="auto"/>
        <w:rPr>
          <w:rFonts w:hint="eastAsia" w:ascii="Times New Roman" w:hAnsi="Times New Roman" w:eastAsia="仿宋_GB2312" w:cs="Times New Roman"/>
          <w:bCs/>
          <w:kern w:val="44"/>
          <w:sz w:val="32"/>
          <w:szCs w:val="32"/>
          <w:lang w:val="en-US" w:eastAsia="zh-CN" w:bidi="ar-SA"/>
        </w:rPr>
      </w:pPr>
      <w:bookmarkStart w:id="42" w:name="_Toc5264"/>
      <w:bookmarkStart w:id="43" w:name="_Toc6827"/>
      <w:bookmarkStart w:id="44" w:name="_Toc2615"/>
      <w:r>
        <w:rPr>
          <w:rFonts w:hint="eastAsia" w:ascii="楷体_GB2312" w:hAnsi="楷体_GB2312" w:eastAsia="楷体_GB2312" w:cs="楷体_GB2312"/>
          <w:lang w:val="en-US" w:eastAsia="zh-CN"/>
        </w:rPr>
        <w:t>（十一）严格建设用地土壤污染风险管控。</w:t>
      </w:r>
      <w:r>
        <w:rPr>
          <w:rFonts w:hint="eastAsia" w:ascii="Times New Roman" w:hAnsi="Times New Roman" w:eastAsia="仿宋_GB2312" w:cs="Times New Roman"/>
          <w:bCs/>
          <w:kern w:val="44"/>
          <w:sz w:val="32"/>
          <w:szCs w:val="32"/>
          <w:lang w:val="en-US" w:eastAsia="zh-CN" w:bidi="ar-SA"/>
        </w:rPr>
        <w:t>加强污染源头防控，督促重点监管单位落实排污许可要求，开展隐患排查、自行监测及整改。开展长江沿线1公里化工企业腾退地块土壤污染专项治理，动态更新农药原药制造、焦化企业腾退地块清单，加快钢铁、化工等大型复杂腾退地块分片分期风险管控和修复。严格“一住两公”建设用地准入管理，动态更新优先监管地块和污染风险管控名录，强化污染地块联动监管。</w:t>
      </w:r>
      <w:bookmarkEnd w:id="42"/>
      <w:bookmarkEnd w:id="43"/>
      <w:bookmarkEnd w:id="44"/>
    </w:p>
    <w:p w14:paraId="5C434F12">
      <w:pPr>
        <w:pStyle w:val="3"/>
        <w:keepNext w:val="0"/>
        <w:keepLines w:val="0"/>
        <w:pageBreakBefore w:val="0"/>
        <w:widowControl w:val="0"/>
        <w:kinsoku/>
        <w:wordWrap/>
        <w:overflowPunct/>
        <w:topLinePunct w:val="0"/>
        <w:autoSpaceDE/>
        <w:autoSpaceDN/>
        <w:bidi w:val="0"/>
        <w:adjustRightInd/>
        <w:snapToGrid w:val="0"/>
        <w:spacing w:before="0" w:beforeLines="0" w:after="0" w:afterLines="0"/>
        <w:ind w:firstLine="640" w:firstLineChars="200"/>
        <w:jc w:val="both"/>
        <w:textAlignment w:val="auto"/>
        <w:rPr>
          <w:rFonts w:hint="default" w:ascii="Times New Roman" w:hAnsi="Times New Roman" w:eastAsia="仿宋_GB2312" w:cs="Times New Roman"/>
          <w:bCs/>
          <w:kern w:val="44"/>
          <w:sz w:val="32"/>
          <w:szCs w:val="32"/>
          <w:lang w:val="en-US" w:eastAsia="zh-CN" w:bidi="ar-SA"/>
        </w:rPr>
      </w:pPr>
      <w:bookmarkStart w:id="45" w:name="_Toc5679"/>
      <w:bookmarkStart w:id="46" w:name="_Toc7655"/>
      <w:bookmarkStart w:id="47" w:name="_Toc12816"/>
      <w:r>
        <w:rPr>
          <w:rFonts w:hint="eastAsia" w:ascii="楷体_GB2312" w:hAnsi="楷体_GB2312" w:eastAsia="楷体_GB2312" w:cs="楷体_GB2312"/>
          <w:lang w:val="en-US" w:eastAsia="zh-CN"/>
        </w:rPr>
        <w:t>（十二）加强农用地生态环境保护</w:t>
      </w:r>
      <w:bookmarkEnd w:id="45"/>
      <w:bookmarkEnd w:id="46"/>
      <w:bookmarkEnd w:id="47"/>
      <w:r>
        <w:rPr>
          <w:rFonts w:hint="eastAsia" w:ascii="楷体_GB2312" w:hAnsi="楷体_GB2312" w:eastAsia="楷体_GB2312" w:cs="楷体_GB2312"/>
          <w:lang w:val="en-US" w:eastAsia="zh-CN"/>
        </w:rPr>
        <w:t>。</w:t>
      </w:r>
      <w:r>
        <w:rPr>
          <w:rFonts w:hint="eastAsia" w:ascii="Times New Roman" w:hAnsi="Times New Roman" w:eastAsia="仿宋_GB2312" w:cs="Times New Roman"/>
          <w:bCs/>
          <w:kern w:val="44"/>
          <w:sz w:val="32"/>
          <w:szCs w:val="32"/>
          <w:lang w:val="en-US" w:eastAsia="zh-CN" w:bidi="ar-SA"/>
        </w:rPr>
        <w:t>实施农用地分类管理，加强优先保护类耕地保护，开展耕地有机质提升行动。持续巩固受污染耕地安全利用水平，聚焦大冶、阳新等重点区域，综合采用低累积品种替代、水肥调控、土壤调理等农艺调控措施，降低食用农产品重金属超标风险，确保受污染耕地安全利用率达到95%。强化严格管控类耕地风险防控，依法划定特定农产品禁止生产区域，落实种植结构调整、休耕退耕等风险管控措施，严禁在重度污染耕地上种植食用农产品。开展受污染农用地污染溯源排查，实现涉重金属县（市、区）溯源全覆盖，推进农用地周边历史遗留废弃矿山生态修复与污染源协同治理，有效管控土壤污染风险。</w:t>
      </w:r>
    </w:p>
    <w:p w14:paraId="39C72398">
      <w:pPr>
        <w:pStyle w:val="3"/>
        <w:keepNext w:val="0"/>
        <w:keepLines w:val="0"/>
        <w:pageBreakBefore w:val="0"/>
        <w:widowControl w:val="0"/>
        <w:kinsoku/>
        <w:wordWrap/>
        <w:overflowPunct/>
        <w:topLinePunct w:val="0"/>
        <w:autoSpaceDE/>
        <w:autoSpaceDN/>
        <w:bidi w:val="0"/>
        <w:adjustRightInd/>
        <w:snapToGrid w:val="0"/>
        <w:spacing w:before="0" w:beforeLines="0" w:after="0" w:afterLines="0"/>
        <w:ind w:firstLine="640" w:firstLineChars="200"/>
        <w:jc w:val="left"/>
        <w:textAlignment w:val="auto"/>
        <w:rPr>
          <w:rFonts w:hint="eastAsia" w:ascii="Times New Roman" w:hAnsi="Times New Roman" w:eastAsia="仿宋_GB2312" w:cs="Times New Roman"/>
          <w:bCs/>
          <w:kern w:val="44"/>
          <w:sz w:val="32"/>
          <w:szCs w:val="32"/>
          <w:lang w:val="en-US" w:eastAsia="zh-CN" w:bidi="ar-SA"/>
        </w:rPr>
      </w:pPr>
      <w:bookmarkStart w:id="48" w:name="_Toc29568"/>
      <w:bookmarkStart w:id="49" w:name="_Toc20320"/>
      <w:bookmarkStart w:id="50" w:name="_Toc4601"/>
      <w:r>
        <w:rPr>
          <w:rFonts w:hint="eastAsia" w:ascii="楷体_GB2312" w:hAnsi="楷体_GB2312" w:eastAsia="楷体_GB2312" w:cs="楷体_GB2312"/>
          <w:lang w:eastAsia="zh-CN"/>
        </w:rPr>
        <w:t>（十三）深化地下水污染防治。</w:t>
      </w:r>
      <w:r>
        <w:rPr>
          <w:rFonts w:hint="eastAsia" w:ascii="Times New Roman" w:hAnsi="Times New Roman" w:eastAsia="仿宋_GB2312" w:cs="Times New Roman"/>
          <w:bCs/>
          <w:kern w:val="44"/>
          <w:sz w:val="32"/>
          <w:szCs w:val="32"/>
          <w:lang w:val="en-US" w:eastAsia="zh-CN" w:bidi="ar-SA"/>
        </w:rPr>
        <w:t>以重金属高背景区、垃圾填埋场等区域和重点污染源为重点，开展全市地下水污染调查评价，强化污染溯源和管控，督促污染源落实渗漏排查和防渗改造措施。加强地下水污染防治重点区划定成果应用，建立长效监管机制。强化地表水、土壤、地下水污染协同防控，开展“一区两场”地下水污染专项治理，推进中低风险化工园区及重点企业地下水环境隐患整治。</w:t>
      </w:r>
      <w:bookmarkEnd w:id="48"/>
      <w:bookmarkEnd w:id="49"/>
      <w:bookmarkEnd w:id="50"/>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6C04F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296" w:type="dxa"/>
            <w:noWrap w:val="0"/>
            <w:vAlign w:val="center"/>
          </w:tcPr>
          <w:p w14:paraId="322D3018">
            <w:pPr>
              <w:widowControl/>
              <w:adjustRightInd w:val="0"/>
              <w:spacing w:line="240" w:lineRule="auto"/>
              <w:ind w:firstLine="0" w:firstLineChars="0"/>
              <w:jc w:val="center"/>
              <w:rPr>
                <w:rFonts w:ascii="仿宋_GB2312"/>
                <w:b/>
                <w:bCs/>
                <w:color w:val="auto"/>
                <w:sz w:val="30"/>
                <w:szCs w:val="30"/>
              </w:rPr>
            </w:pPr>
            <w:r>
              <w:rPr>
                <w:rFonts w:hint="eastAsia" w:ascii="楷体_GB2312" w:hAnsi="楷体_GB2312" w:eastAsia="楷体_GB2312" w:cs="楷体_GB2312"/>
                <w:b w:val="0"/>
                <w:bCs w:val="0"/>
                <w:sz w:val="24"/>
                <w:szCs w:val="24"/>
                <w:lang w:val="en-US" w:eastAsia="zh-CN"/>
              </w:rPr>
              <w:t>专栏6  净土工程</w:t>
            </w:r>
          </w:p>
        </w:tc>
      </w:tr>
      <w:tr w14:paraId="4DE47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noWrap w:val="0"/>
            <w:vAlign w:val="top"/>
          </w:tcPr>
          <w:p w14:paraId="2B330D50">
            <w:pPr>
              <w:keepNext w:val="0"/>
              <w:keepLines w:val="0"/>
              <w:pageBreakBefore w:val="0"/>
              <w:widowControl w:val="0"/>
              <w:kinsoku/>
              <w:wordWrap/>
              <w:overflowPunct/>
              <w:topLinePunct w:val="0"/>
              <w:autoSpaceDE/>
              <w:autoSpaceDN/>
              <w:bidi w:val="0"/>
              <w:adjustRightInd/>
              <w:snapToGrid w:val="0"/>
              <w:spacing w:line="360" w:lineRule="auto"/>
              <w:ind w:firstLine="602"/>
              <w:textAlignment w:val="auto"/>
              <w:rPr>
                <w:rFonts w:hint="eastAsia" w:ascii="仿宋_GB2312" w:hAnsi="Times New Roman" w:cs="Times New Roman"/>
                <w:b w:val="0"/>
                <w:bCs w:val="0"/>
                <w:color w:val="auto"/>
                <w:sz w:val="24"/>
                <w:szCs w:val="24"/>
                <w:lang w:val="en-US" w:eastAsia="zh-CN"/>
              </w:rPr>
            </w:pPr>
            <w:r>
              <w:rPr>
                <w:rFonts w:hint="eastAsia" w:ascii="仿宋_GB2312" w:hAnsi="Times New Roman" w:cs="Times New Roman"/>
                <w:b/>
                <w:bCs/>
                <w:color w:val="auto"/>
                <w:sz w:val="24"/>
                <w:szCs w:val="24"/>
                <w:lang w:val="en-US" w:eastAsia="zh-CN"/>
              </w:rPr>
              <w:t>重点区域污染地块治理工程：</w:t>
            </w:r>
            <w:r>
              <w:rPr>
                <w:rFonts w:hint="eastAsia" w:ascii="仿宋_GB2312" w:hAnsi="Times New Roman" w:cs="Times New Roman"/>
                <w:b w:val="0"/>
                <w:bCs w:val="0"/>
                <w:color w:val="auto"/>
                <w:sz w:val="24"/>
                <w:szCs w:val="24"/>
                <w:lang w:val="en-US" w:eastAsia="zh-CN"/>
              </w:rPr>
              <w:t>实施长江及一二级支流沿线化工企业腾退地块土壤污染风险管控和修复治理项目。</w:t>
            </w:r>
          </w:p>
          <w:p w14:paraId="061E2ACD">
            <w:pPr>
              <w:keepNext w:val="0"/>
              <w:keepLines w:val="0"/>
              <w:pageBreakBefore w:val="0"/>
              <w:widowControl w:val="0"/>
              <w:kinsoku/>
              <w:wordWrap/>
              <w:overflowPunct/>
              <w:topLinePunct w:val="0"/>
              <w:autoSpaceDE/>
              <w:autoSpaceDN/>
              <w:bidi w:val="0"/>
              <w:adjustRightInd/>
              <w:snapToGrid w:val="0"/>
              <w:spacing w:line="360" w:lineRule="auto"/>
              <w:ind w:firstLine="602"/>
              <w:textAlignment w:val="auto"/>
              <w:rPr>
                <w:rFonts w:hint="eastAsia" w:ascii="仿宋_GB2312" w:hAnsi="Times New Roman" w:cs="Times New Roman"/>
                <w:b w:val="0"/>
                <w:bCs w:val="0"/>
                <w:color w:val="auto"/>
                <w:sz w:val="24"/>
                <w:szCs w:val="24"/>
                <w:lang w:val="en-US" w:eastAsia="zh-CN"/>
              </w:rPr>
            </w:pPr>
            <w:r>
              <w:rPr>
                <w:rFonts w:hint="eastAsia" w:ascii="仿宋_GB2312" w:hAnsi="Times New Roman" w:cs="Times New Roman"/>
                <w:b/>
                <w:bCs/>
                <w:color w:val="auto"/>
                <w:sz w:val="24"/>
                <w:szCs w:val="24"/>
                <w:lang w:val="en-US" w:eastAsia="zh-CN"/>
              </w:rPr>
              <w:t>农用地土壤重金属污染溯源整治工程：</w:t>
            </w:r>
            <w:r>
              <w:rPr>
                <w:rFonts w:hint="eastAsia" w:ascii="仿宋_GB2312" w:hAnsi="Times New Roman" w:cs="Times New Roman"/>
                <w:b w:val="0"/>
                <w:bCs w:val="0"/>
                <w:color w:val="auto"/>
                <w:sz w:val="24"/>
                <w:szCs w:val="24"/>
                <w:lang w:val="en-US" w:eastAsia="zh-CN"/>
              </w:rPr>
              <w:t>实施大冶市受污染耕地生产障碍治理、农用地周边历史遗留重金属污染源综合整治等项目，切断重金属污染物进入农田的途径。</w:t>
            </w:r>
          </w:p>
          <w:p w14:paraId="1420BBE1">
            <w:pPr>
              <w:keepNext w:val="0"/>
              <w:keepLines w:val="0"/>
              <w:pageBreakBefore w:val="0"/>
              <w:widowControl w:val="0"/>
              <w:kinsoku/>
              <w:wordWrap/>
              <w:overflowPunct/>
              <w:topLinePunct w:val="0"/>
              <w:autoSpaceDE/>
              <w:autoSpaceDN/>
              <w:bidi w:val="0"/>
              <w:adjustRightInd/>
              <w:snapToGrid w:val="0"/>
              <w:spacing w:line="360" w:lineRule="auto"/>
              <w:ind w:firstLine="602"/>
              <w:textAlignment w:val="auto"/>
              <w:rPr>
                <w:rFonts w:hint="default" w:ascii="仿宋_GB2312" w:hAnsi="Times New Roman" w:cs="Times New Roman"/>
                <w:color w:val="auto"/>
                <w:sz w:val="30"/>
                <w:szCs w:val="30"/>
                <w:lang w:val="en-US" w:eastAsia="zh-CN"/>
              </w:rPr>
            </w:pPr>
            <w:r>
              <w:rPr>
                <w:rFonts w:hint="eastAsia" w:ascii="仿宋_GB2312" w:hAnsi="Times New Roman" w:cs="Times New Roman"/>
                <w:b/>
                <w:bCs/>
                <w:color w:val="auto"/>
                <w:sz w:val="24"/>
                <w:szCs w:val="24"/>
                <w:lang w:val="en-US" w:eastAsia="zh-CN"/>
              </w:rPr>
              <w:t>地下水污染治理工程：</w:t>
            </w:r>
            <w:r>
              <w:rPr>
                <w:rFonts w:hint="eastAsia" w:ascii="仿宋_GB2312" w:hAnsi="Times New Roman" w:cs="Times New Roman"/>
                <w:b w:val="0"/>
                <w:bCs w:val="0"/>
                <w:color w:val="auto"/>
                <w:sz w:val="24"/>
                <w:szCs w:val="24"/>
                <w:lang w:val="en-US" w:eastAsia="zh-CN"/>
              </w:rPr>
              <w:t>开展大冶市地下水风险管控试点、阳新县地下水污染风险排查等5个重点项目。</w:t>
            </w:r>
          </w:p>
        </w:tc>
      </w:tr>
    </w:tbl>
    <w:p w14:paraId="7D4C126A">
      <w:pPr>
        <w:pStyle w:val="22"/>
        <w:keepNext/>
        <w:keepLines/>
        <w:pageBreakBefore w:val="0"/>
        <w:widowControl w:val="0"/>
        <w:kinsoku/>
        <w:wordWrap/>
        <w:overflowPunct/>
        <w:topLinePunct w:val="0"/>
        <w:autoSpaceDE/>
        <w:autoSpaceDN/>
        <w:bidi w:val="0"/>
        <w:adjustRightInd/>
        <w:snapToGrid w:val="0"/>
        <w:spacing w:line="580" w:lineRule="exact"/>
        <w:ind w:firstLine="640" w:firstLineChars="200"/>
        <w:jc w:val="left"/>
        <w:textAlignment w:val="auto"/>
        <w:rPr>
          <w:rFonts w:hint="default" w:ascii="Times New Roman" w:hAnsi="Times New Roman" w:eastAsia="方正小标宋_GBK"/>
          <w:lang w:val="en-US" w:eastAsia="zh-CN"/>
        </w:rPr>
      </w:pPr>
      <w:bookmarkStart w:id="51" w:name="_Toc27671"/>
      <w:bookmarkStart w:id="52" w:name="_Toc20910"/>
      <w:bookmarkStart w:id="53" w:name="_Toc9373"/>
      <w:r>
        <w:rPr>
          <w:rFonts w:hint="eastAsia" w:ascii="Times New Roman" w:hAnsi="Times New Roman"/>
          <w:lang w:val="en-US" w:eastAsia="zh-CN"/>
        </w:rPr>
        <w:t>六、加强固体废物和新污染物治理</w:t>
      </w:r>
      <w:bookmarkEnd w:id="51"/>
      <w:bookmarkEnd w:id="52"/>
      <w:bookmarkEnd w:id="53"/>
    </w:p>
    <w:p w14:paraId="7A074D7E">
      <w:pPr>
        <w:pStyle w:val="3"/>
        <w:keepNext w:val="0"/>
        <w:keepLines w:val="0"/>
        <w:pageBreakBefore w:val="0"/>
        <w:widowControl w:val="0"/>
        <w:kinsoku/>
        <w:wordWrap/>
        <w:overflowPunct/>
        <w:topLinePunct w:val="0"/>
        <w:autoSpaceDE/>
        <w:autoSpaceDN/>
        <w:bidi w:val="0"/>
        <w:adjustRightInd/>
        <w:snapToGrid w:val="0"/>
        <w:spacing w:before="0" w:beforeLines="0" w:after="0" w:afterLines="0"/>
        <w:ind w:firstLine="640" w:firstLineChars="200"/>
        <w:jc w:val="both"/>
        <w:textAlignment w:val="auto"/>
        <w:rPr>
          <w:rFonts w:hint="default" w:ascii="Times New Roman" w:hAnsi="Times New Roman" w:eastAsia="仿宋_GB2312" w:cs="Times New Roman"/>
          <w:bCs/>
          <w:kern w:val="44"/>
          <w:sz w:val="32"/>
          <w:szCs w:val="32"/>
          <w:lang w:val="en-US" w:eastAsia="zh-CN" w:bidi="ar-SA"/>
        </w:rPr>
      </w:pPr>
      <w:bookmarkStart w:id="54" w:name="_Toc6702"/>
      <w:bookmarkStart w:id="55" w:name="_Toc22107"/>
      <w:r>
        <w:rPr>
          <w:rFonts w:hint="eastAsia" w:ascii="楷体_GB2312" w:hAnsi="楷体_GB2312" w:eastAsia="楷体_GB2312" w:cs="楷体_GB2312"/>
          <w:lang w:eastAsia="zh-CN"/>
        </w:rPr>
        <w:t>（十四）强化固体废物综合治理。</w:t>
      </w:r>
      <w:r>
        <w:rPr>
          <w:rFonts w:hint="eastAsia" w:ascii="Times New Roman" w:hAnsi="Times New Roman" w:eastAsia="仿宋_GB2312" w:cs="Times New Roman"/>
          <w:bCs/>
          <w:kern w:val="44"/>
          <w:sz w:val="32"/>
          <w:szCs w:val="32"/>
          <w:lang w:val="en-US" w:eastAsia="zh-CN" w:bidi="ar-SA"/>
        </w:rPr>
        <w:t>全面排查整治磷石膏库、生活垃圾填埋场、危险废物填埋场环境污染隐患，开展非法倾倒处置固体废物、溶洞垃圾污染等专项整治。提升磷石膏等大宗工业固废和废弃电器电子产品、退役新能源设备综合利用水平。健全农药包装、废旧农膜市场化回收网络，常态化开展田间残膜整治。综合整治小散乱矿山，推进矿山固体废物资源化利用。</w:t>
      </w:r>
      <w:bookmarkEnd w:id="54"/>
      <w:bookmarkEnd w:id="55"/>
    </w:p>
    <w:p w14:paraId="1BAB300A">
      <w:pPr>
        <w:pStyle w:val="3"/>
        <w:keepNext w:val="0"/>
        <w:keepLines w:val="0"/>
        <w:pageBreakBefore w:val="0"/>
        <w:widowControl w:val="0"/>
        <w:kinsoku/>
        <w:wordWrap/>
        <w:overflowPunct/>
        <w:topLinePunct w:val="0"/>
        <w:autoSpaceDE/>
        <w:autoSpaceDN/>
        <w:bidi w:val="0"/>
        <w:adjustRightInd/>
        <w:snapToGrid w:val="0"/>
        <w:spacing w:before="0" w:beforeLines="0" w:after="0" w:afterLines="0"/>
        <w:ind w:firstLine="640" w:firstLineChars="200"/>
        <w:jc w:val="both"/>
        <w:textAlignment w:val="auto"/>
        <w:rPr>
          <w:rFonts w:hint="eastAsia" w:ascii="Times New Roman" w:hAnsi="Times New Roman" w:eastAsia="仿宋_GB2312" w:cs="Times New Roman"/>
          <w:bCs/>
          <w:kern w:val="44"/>
          <w:sz w:val="32"/>
          <w:szCs w:val="32"/>
          <w:lang w:val="en-US" w:eastAsia="zh-CN" w:bidi="ar-SA"/>
        </w:rPr>
      </w:pPr>
      <w:bookmarkStart w:id="56" w:name="_Toc30726"/>
      <w:bookmarkStart w:id="57" w:name="_Toc8561"/>
      <w:r>
        <w:rPr>
          <w:rFonts w:hint="eastAsia" w:ascii="楷体_GB2312" w:hAnsi="楷体_GB2312" w:eastAsia="楷体_GB2312" w:cs="楷体_GB2312"/>
          <w:lang w:eastAsia="zh-CN"/>
        </w:rPr>
        <w:t>（十五）实施危险废物全过程管理。</w:t>
      </w:r>
      <w:r>
        <w:rPr>
          <w:rFonts w:hint="eastAsia" w:ascii="Times New Roman" w:hAnsi="Times New Roman" w:eastAsia="仿宋_GB2312" w:cs="Times New Roman"/>
          <w:bCs/>
          <w:kern w:val="44"/>
          <w:sz w:val="32"/>
          <w:szCs w:val="32"/>
          <w:lang w:val="en-US" w:eastAsia="zh-CN" w:bidi="ar-SA"/>
        </w:rPr>
        <w:t>强化危险废物“五即”管控，完善市域危废“一物一码”溯源体系，常态化开展设施隐患排查。完善医疗废物收运体系，构建“平急两用”收运处置网络。聚焦废盐、飞灰等难点品类，推进源头减量与资源化项目落地，补齐飞灰资源化处置短板。优化焚烧、资源化利用结构，严控填埋类项目准入，落实2030年全市危废填埋处置占比低于10%的目标。</w:t>
      </w:r>
      <w:bookmarkEnd w:id="56"/>
      <w:bookmarkEnd w:id="57"/>
    </w:p>
    <w:p w14:paraId="0D09F590">
      <w:pPr>
        <w:pStyle w:val="3"/>
        <w:keepNext w:val="0"/>
        <w:keepLines w:val="0"/>
        <w:pageBreakBefore w:val="0"/>
        <w:widowControl w:val="0"/>
        <w:kinsoku/>
        <w:wordWrap/>
        <w:overflowPunct/>
        <w:topLinePunct w:val="0"/>
        <w:autoSpaceDE/>
        <w:autoSpaceDN/>
        <w:bidi w:val="0"/>
        <w:adjustRightInd/>
        <w:snapToGrid w:val="0"/>
        <w:spacing w:before="0" w:beforeLines="0" w:after="0" w:afterLines="0"/>
        <w:ind w:firstLine="640" w:firstLineChars="200"/>
        <w:jc w:val="both"/>
        <w:textAlignment w:val="auto"/>
        <w:rPr>
          <w:rFonts w:hint="eastAsia" w:ascii="Times New Roman" w:hAnsi="Times New Roman" w:eastAsia="仿宋_GB2312" w:cs="Times New Roman"/>
          <w:bCs/>
          <w:kern w:val="44"/>
          <w:sz w:val="32"/>
          <w:szCs w:val="32"/>
          <w:lang w:val="en-US" w:eastAsia="zh-CN" w:bidi="ar-SA"/>
        </w:rPr>
      </w:pPr>
      <w:bookmarkStart w:id="58" w:name="_Toc3560"/>
      <w:bookmarkStart w:id="59" w:name="_Toc304"/>
      <w:r>
        <w:rPr>
          <w:rFonts w:hint="eastAsia" w:ascii="楷体_GB2312" w:hAnsi="楷体_GB2312" w:eastAsia="楷体_GB2312" w:cs="楷体_GB2312"/>
          <w:lang w:eastAsia="zh-CN"/>
        </w:rPr>
        <w:t>（十六）深化新污染物治理。</w:t>
      </w:r>
      <w:bookmarkEnd w:id="58"/>
      <w:bookmarkEnd w:id="59"/>
      <w:r>
        <w:rPr>
          <w:rFonts w:hint="eastAsia" w:ascii="Times New Roman" w:hAnsi="Times New Roman" w:eastAsia="仿宋_GB2312" w:cs="Times New Roman"/>
          <w:bCs/>
          <w:kern w:val="44"/>
          <w:sz w:val="32"/>
          <w:szCs w:val="32"/>
          <w:lang w:val="en-US" w:eastAsia="zh-CN" w:bidi="ar-SA"/>
        </w:rPr>
        <w:t>聚焦长江黄石段、集中式饮用水水源地、化工园区等重点区域，开展新污染物环境本底调查监测；以化工、医药、污水处理、垃圾焚烧等行业为重点，推进企业筛查监测，制定“一品一策”管控方案。严格源头管控，落实新化学物质环境管理登记制度，探索开展畜禽粪污抗生素调查，到2030年建成完善的新污染物环境信息调查、监测及风险评估体系。</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5424F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8296" w:type="dxa"/>
            <w:noWrap w:val="0"/>
            <w:vAlign w:val="center"/>
          </w:tcPr>
          <w:p w14:paraId="4E52387A">
            <w:pPr>
              <w:widowControl/>
              <w:adjustRightInd w:val="0"/>
              <w:spacing w:line="240" w:lineRule="auto"/>
              <w:ind w:firstLine="0" w:firstLineChars="0"/>
              <w:jc w:val="center"/>
              <w:rPr>
                <w:rFonts w:ascii="仿宋_GB2312"/>
                <w:b/>
                <w:bCs/>
                <w:sz w:val="30"/>
                <w:szCs w:val="30"/>
              </w:rPr>
            </w:pPr>
            <w:r>
              <w:rPr>
                <w:rFonts w:hint="eastAsia" w:ascii="楷体_GB2312" w:hAnsi="楷体_GB2312" w:eastAsia="楷体_GB2312" w:cs="楷体_GB2312"/>
                <w:b w:val="0"/>
                <w:bCs w:val="0"/>
                <w:sz w:val="24"/>
                <w:szCs w:val="24"/>
                <w:lang w:val="en-US" w:eastAsia="zh-CN"/>
              </w:rPr>
              <w:t>专栏7  固体废物与新污染物治理工程</w:t>
            </w:r>
          </w:p>
        </w:tc>
      </w:tr>
      <w:tr w14:paraId="09027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noWrap w:val="0"/>
            <w:vAlign w:val="top"/>
          </w:tcPr>
          <w:p w14:paraId="4E3DB8B3">
            <w:pPr>
              <w:keepNext w:val="0"/>
              <w:keepLines w:val="0"/>
              <w:pageBreakBefore w:val="0"/>
              <w:widowControl w:val="0"/>
              <w:kinsoku/>
              <w:wordWrap/>
              <w:overflowPunct/>
              <w:topLinePunct w:val="0"/>
              <w:autoSpaceDE/>
              <w:autoSpaceDN/>
              <w:bidi w:val="0"/>
              <w:adjustRightInd/>
              <w:snapToGrid w:val="0"/>
              <w:spacing w:line="360" w:lineRule="auto"/>
              <w:ind w:firstLine="602"/>
              <w:textAlignment w:val="auto"/>
              <w:rPr>
                <w:rFonts w:ascii="仿宋_GB2312"/>
                <w:b w:val="0"/>
                <w:bCs w:val="0"/>
                <w:sz w:val="24"/>
                <w:szCs w:val="24"/>
              </w:rPr>
            </w:pPr>
            <w:r>
              <w:rPr>
                <w:rFonts w:hint="eastAsia" w:ascii="仿宋_GB2312"/>
                <w:b/>
                <w:bCs/>
                <w:sz w:val="24"/>
                <w:szCs w:val="24"/>
              </w:rPr>
              <w:t>危险废物安全处置能力提升工程：</w:t>
            </w:r>
            <w:r>
              <w:rPr>
                <w:rFonts w:hint="eastAsia" w:ascii="仿宋_GB2312"/>
                <w:b w:val="0"/>
                <w:bCs w:val="0"/>
                <w:sz w:val="24"/>
                <w:szCs w:val="24"/>
              </w:rPr>
              <w:t>建设危险废物焚烧、热解焚烧、水泥窑协同处置设施及配套工程。实施医废收集处理设施补短板工程，实现县（市）医疗废物收集、转运、处置体系全覆盖。</w:t>
            </w:r>
          </w:p>
          <w:p w14:paraId="111261BC">
            <w:pPr>
              <w:keepNext w:val="0"/>
              <w:keepLines w:val="0"/>
              <w:pageBreakBefore w:val="0"/>
              <w:widowControl w:val="0"/>
              <w:kinsoku/>
              <w:wordWrap/>
              <w:overflowPunct/>
              <w:topLinePunct w:val="0"/>
              <w:autoSpaceDE/>
              <w:autoSpaceDN/>
              <w:bidi w:val="0"/>
              <w:adjustRightInd/>
              <w:snapToGrid w:val="0"/>
              <w:spacing w:line="360" w:lineRule="auto"/>
              <w:ind w:firstLine="602"/>
              <w:textAlignment w:val="auto"/>
              <w:rPr>
                <w:rFonts w:ascii="仿宋_GB2312"/>
                <w:b w:val="0"/>
                <w:bCs w:val="0"/>
                <w:sz w:val="24"/>
                <w:szCs w:val="24"/>
              </w:rPr>
            </w:pPr>
            <w:r>
              <w:rPr>
                <w:rFonts w:hint="eastAsia" w:ascii="仿宋_GB2312"/>
                <w:b/>
                <w:bCs/>
                <w:sz w:val="24"/>
                <w:szCs w:val="24"/>
              </w:rPr>
              <w:t>资源循环利用工程：在大冶、</w:t>
            </w:r>
            <w:r>
              <w:rPr>
                <w:rFonts w:hint="eastAsia" w:ascii="仿宋_GB2312"/>
                <w:b w:val="0"/>
                <w:bCs w:val="0"/>
                <w:sz w:val="24"/>
                <w:szCs w:val="24"/>
              </w:rPr>
              <w:t>阳新建设一批静脉产业园，实施“无废城市”循环经济产业园综合提升、一般固废综合利用和无害化处置、尾矿库尾砂资源回用及库区环境治理、多源固废协同处置中心等项目。</w:t>
            </w:r>
          </w:p>
          <w:p w14:paraId="76C87F0C">
            <w:pPr>
              <w:keepNext w:val="0"/>
              <w:keepLines w:val="0"/>
              <w:pageBreakBefore w:val="0"/>
              <w:widowControl w:val="0"/>
              <w:kinsoku/>
              <w:wordWrap/>
              <w:overflowPunct/>
              <w:topLinePunct w:val="0"/>
              <w:autoSpaceDE/>
              <w:autoSpaceDN/>
              <w:bidi w:val="0"/>
              <w:adjustRightInd/>
              <w:snapToGrid w:val="0"/>
              <w:spacing w:line="360" w:lineRule="auto"/>
              <w:ind w:firstLine="602"/>
              <w:textAlignment w:val="auto"/>
              <w:rPr>
                <w:rFonts w:ascii="仿宋_GB2312"/>
                <w:sz w:val="30"/>
                <w:szCs w:val="30"/>
              </w:rPr>
            </w:pPr>
            <w:r>
              <w:rPr>
                <w:rFonts w:hint="eastAsia" w:ascii="仿宋_GB2312"/>
                <w:b/>
                <w:bCs/>
                <w:sz w:val="24"/>
                <w:szCs w:val="24"/>
              </w:rPr>
              <w:t>新污染物治理：</w:t>
            </w:r>
            <w:r>
              <w:rPr>
                <w:rFonts w:hint="eastAsia" w:ascii="仿宋_GB2312"/>
                <w:b w:val="0"/>
                <w:bCs w:val="0"/>
                <w:sz w:val="24"/>
                <w:szCs w:val="24"/>
              </w:rPr>
              <w:t>实施新污染物监测预警、重点行业风险管控及园区协同治理工程，打造全链条管控示范。</w:t>
            </w:r>
          </w:p>
        </w:tc>
      </w:tr>
    </w:tbl>
    <w:p w14:paraId="37372523">
      <w:pPr>
        <w:pStyle w:val="22"/>
        <w:keepNext/>
        <w:keepLines/>
        <w:pageBreakBefore w:val="0"/>
        <w:widowControl w:val="0"/>
        <w:kinsoku/>
        <w:wordWrap/>
        <w:overflowPunct/>
        <w:topLinePunct w:val="0"/>
        <w:autoSpaceDE/>
        <w:autoSpaceDN/>
        <w:bidi w:val="0"/>
        <w:adjustRightInd/>
        <w:snapToGrid w:val="0"/>
        <w:spacing w:line="580" w:lineRule="exact"/>
        <w:ind w:firstLine="640" w:firstLineChars="200"/>
        <w:jc w:val="left"/>
        <w:textAlignment w:val="auto"/>
        <w:rPr>
          <w:rFonts w:hint="default" w:ascii="Times New Roman" w:hAnsi="Times New Roman"/>
        </w:rPr>
      </w:pPr>
      <w:bookmarkStart w:id="60" w:name="_Toc18937"/>
      <w:bookmarkStart w:id="61" w:name="_Toc32174"/>
      <w:bookmarkStart w:id="62" w:name="_Toc6319"/>
      <w:bookmarkStart w:id="63" w:name="_Toc14624"/>
      <w:r>
        <w:rPr>
          <w:rFonts w:hint="eastAsia" w:ascii="Times New Roman" w:hAnsi="Times New Roman"/>
          <w:lang w:val="en-US" w:eastAsia="zh-CN"/>
        </w:rPr>
        <w:t>七、</w:t>
      </w:r>
      <w:r>
        <w:rPr>
          <w:rFonts w:ascii="Times New Roman" w:hAnsi="Times New Roman"/>
        </w:rPr>
        <w:t>推动绿色低碳高质量发展</w:t>
      </w:r>
      <w:bookmarkEnd w:id="60"/>
      <w:bookmarkEnd w:id="61"/>
      <w:bookmarkEnd w:id="62"/>
      <w:bookmarkEnd w:id="63"/>
    </w:p>
    <w:p w14:paraId="6EDF3928">
      <w:pPr>
        <w:pStyle w:val="3"/>
        <w:pageBreakBefore w:val="0"/>
        <w:widowControl w:val="0"/>
        <w:kinsoku/>
        <w:wordWrap/>
        <w:overflowPunct/>
        <w:topLinePunct w:val="0"/>
        <w:autoSpaceDE/>
        <w:autoSpaceDN/>
        <w:bidi w:val="0"/>
        <w:adjustRightInd/>
        <w:snapToGrid w:val="0"/>
        <w:spacing w:before="0" w:beforeLines="0" w:after="0" w:afterLines="0" w:line="580" w:lineRule="exact"/>
        <w:ind w:firstLine="640" w:firstLineChars="200"/>
        <w:jc w:val="both"/>
        <w:textAlignment w:val="auto"/>
        <w:rPr>
          <w:rFonts w:hint="eastAsia" w:ascii="Times New Roman" w:hAnsi="Times New Roman" w:eastAsia="仿宋_GB2312" w:cs="Times New Roman"/>
          <w:bCs/>
          <w:kern w:val="44"/>
          <w:sz w:val="32"/>
          <w:szCs w:val="32"/>
          <w:lang w:val="en-US" w:eastAsia="zh-CN" w:bidi="ar-SA"/>
        </w:rPr>
      </w:pPr>
      <w:bookmarkStart w:id="64" w:name="_Toc32744"/>
      <w:bookmarkStart w:id="65" w:name="_Toc19158"/>
      <w:r>
        <w:rPr>
          <w:rFonts w:hint="eastAsia" w:ascii="楷体_GB2312" w:hAnsi="楷体_GB2312" w:eastAsia="楷体_GB2312" w:cs="楷体_GB2312"/>
          <w:lang w:eastAsia="zh-CN"/>
        </w:rPr>
        <w:t>（十七）推进重点领域绿色低碳高质量发展。</w:t>
      </w:r>
      <w:r>
        <w:rPr>
          <w:rFonts w:hint="eastAsia" w:ascii="Times New Roman" w:hAnsi="Times New Roman" w:eastAsia="仿宋_GB2312" w:cs="Times New Roman"/>
          <w:bCs/>
          <w:kern w:val="44"/>
          <w:sz w:val="32"/>
          <w:szCs w:val="32"/>
          <w:lang w:val="en-US" w:eastAsia="zh-CN" w:bidi="ar-SA"/>
        </w:rPr>
        <w:t>实施碳排放总量和强度双控制度，推动钢铁、水泥等重点行业减污降碳协同改造，打造一批零碳工厂、零碳园区。加快能源绿色低碳转型，依托矿山修复开发新能源，布局光伏、生物质发电及氢能全产业链，推动煤电转型升级。高标准建设长乐山循环经济产业园，延伸固废综合利用产业链，培育壮大循环经济与节能环保产业集群。</w:t>
      </w:r>
      <w:bookmarkEnd w:id="64"/>
      <w:bookmarkEnd w:id="65"/>
    </w:p>
    <w:p w14:paraId="21585969">
      <w:pPr>
        <w:pStyle w:val="3"/>
        <w:pageBreakBefore w:val="0"/>
        <w:widowControl w:val="0"/>
        <w:kinsoku/>
        <w:wordWrap/>
        <w:overflowPunct/>
        <w:topLinePunct w:val="0"/>
        <w:autoSpaceDE/>
        <w:autoSpaceDN/>
        <w:bidi w:val="0"/>
        <w:adjustRightInd/>
        <w:snapToGrid w:val="0"/>
        <w:spacing w:before="0" w:beforeLines="0" w:after="0" w:afterLines="0" w:line="580" w:lineRule="exact"/>
        <w:ind w:firstLine="640" w:firstLineChars="200"/>
        <w:jc w:val="left"/>
        <w:textAlignment w:val="auto"/>
        <w:rPr>
          <w:rFonts w:hint="eastAsia" w:ascii="Times New Roman" w:hAnsi="Times New Roman" w:eastAsia="仿宋_GB2312" w:cs="Times New Roman"/>
          <w:bCs/>
          <w:kern w:val="44"/>
          <w:sz w:val="32"/>
          <w:szCs w:val="32"/>
          <w:lang w:val="en-US" w:eastAsia="zh-CN" w:bidi="ar-SA"/>
        </w:rPr>
      </w:pPr>
      <w:r>
        <w:rPr>
          <w:rFonts w:hint="eastAsia" w:ascii="楷体_GB2312" w:hAnsi="楷体_GB2312" w:eastAsia="楷体_GB2312" w:cs="楷体_GB2312"/>
          <w:lang w:eastAsia="zh-CN"/>
        </w:rPr>
        <w:t>（十八）大力推进地方碳市场建设。</w:t>
      </w:r>
      <w:r>
        <w:rPr>
          <w:rFonts w:hint="eastAsia" w:ascii="Times New Roman" w:hAnsi="Times New Roman" w:eastAsia="仿宋_GB2312" w:cs="Times New Roman"/>
          <w:bCs/>
          <w:kern w:val="44"/>
          <w:sz w:val="32"/>
          <w:szCs w:val="32"/>
          <w:lang w:val="en-US" w:eastAsia="zh-CN" w:bidi="ar-SA"/>
        </w:rPr>
        <w:t>深入推进碳排放权交易，稳步推动万吨标煤以上企业纳入碳市场，探索建立企业碳账户，强化企业碳排放信息披露。加强碳排放数据质量监管，建立企业碳排放日常监测监管机制，推动重点高耗能行业开展在线监测。开展碳足迹因子研究与应用，推动水泥产品碳足迹核算、认证和应用全链条管理并逐步向钢铁、化工等行业拓展，扩大碳普惠减排量应用。</w:t>
      </w:r>
    </w:p>
    <w:p w14:paraId="48FDB2AF">
      <w:pPr>
        <w:pStyle w:val="3"/>
        <w:pageBreakBefore w:val="0"/>
        <w:widowControl w:val="0"/>
        <w:kinsoku/>
        <w:wordWrap/>
        <w:overflowPunct/>
        <w:topLinePunct w:val="0"/>
        <w:autoSpaceDE/>
        <w:autoSpaceDN/>
        <w:bidi w:val="0"/>
        <w:adjustRightInd/>
        <w:snapToGrid w:val="0"/>
        <w:spacing w:before="0" w:beforeLines="0" w:after="0" w:afterLines="0" w:line="580" w:lineRule="exact"/>
        <w:ind w:firstLine="640" w:firstLineChars="200"/>
        <w:jc w:val="left"/>
        <w:textAlignment w:val="auto"/>
        <w:rPr>
          <w:rFonts w:hint="eastAsia" w:ascii="Times New Roman" w:hAnsi="Times New Roman" w:eastAsia="仿宋_GB2312" w:cs="Times New Roman"/>
          <w:bCs/>
          <w:kern w:val="44"/>
          <w:sz w:val="32"/>
          <w:szCs w:val="32"/>
          <w:lang w:val="en-US" w:eastAsia="zh-CN" w:bidi="ar-SA"/>
        </w:rPr>
      </w:pPr>
      <w:r>
        <w:rPr>
          <w:rFonts w:hint="eastAsia" w:ascii="楷体_GB2312" w:hAnsi="楷体_GB2312" w:eastAsia="楷体_GB2312" w:cs="楷体_GB2312"/>
          <w:lang w:eastAsia="zh-CN"/>
        </w:rPr>
        <w:t>（十九）主动适应气候变化。</w:t>
      </w:r>
      <w:r>
        <w:rPr>
          <w:rFonts w:hint="eastAsia" w:ascii="Times New Roman" w:hAnsi="Times New Roman" w:eastAsia="仿宋_GB2312" w:cs="Times New Roman"/>
          <w:bCs/>
          <w:kern w:val="44"/>
          <w:sz w:val="32"/>
          <w:szCs w:val="32"/>
          <w:lang w:val="en-US" w:eastAsia="zh-CN" w:bidi="ar-SA"/>
        </w:rPr>
        <w:t>开展地质灾害次生污染风险调查评估，强化重点领域、重点工程、重要开发项目气候变化影响和风险评估。推进气候适应型城市建设，提高农业、能源等领域气候韧性。</w:t>
      </w:r>
    </w:p>
    <w:p w14:paraId="3447B6E0">
      <w:pPr>
        <w:pStyle w:val="22"/>
        <w:pageBreakBefore w:val="0"/>
        <w:widowControl w:val="0"/>
        <w:numPr>
          <w:ilvl w:val="0"/>
          <w:numId w:val="0"/>
        </w:numPr>
        <w:kinsoku/>
        <w:wordWrap/>
        <w:overflowPunct/>
        <w:topLinePunct w:val="0"/>
        <w:autoSpaceDE/>
        <w:autoSpaceDN/>
        <w:bidi w:val="0"/>
        <w:adjustRightInd/>
        <w:snapToGrid w:val="0"/>
        <w:spacing w:line="580" w:lineRule="exact"/>
        <w:ind w:firstLine="640" w:firstLineChars="200"/>
        <w:jc w:val="left"/>
        <w:textAlignment w:val="auto"/>
        <w:rPr>
          <w:rFonts w:hint="eastAsia" w:ascii="Times New Roman" w:hAnsi="Times New Roman" w:cs="Times New Roman"/>
          <w:lang w:bidi="ar"/>
        </w:rPr>
      </w:pPr>
      <w:bookmarkStart w:id="66" w:name="_Toc14452"/>
      <w:bookmarkStart w:id="67" w:name="_Toc23781"/>
      <w:bookmarkStart w:id="68" w:name="_Toc21507"/>
      <w:bookmarkStart w:id="69" w:name="_Hlk231046191"/>
      <w:r>
        <w:rPr>
          <w:rFonts w:hint="eastAsia" w:ascii="Times New Roman" w:hAnsi="Times New Roman" w:cs="Times New Roman"/>
          <w:lang w:val="en-US" w:eastAsia="zh-CN" w:bidi="ar"/>
        </w:rPr>
        <w:t>八、</w:t>
      </w:r>
      <w:r>
        <w:rPr>
          <w:rFonts w:hint="eastAsia" w:ascii="Times New Roman" w:hAnsi="Times New Roman" w:cs="Times New Roman"/>
          <w:lang w:bidi="ar"/>
        </w:rPr>
        <w:t>强化</w:t>
      </w:r>
      <w:r>
        <w:rPr>
          <w:rFonts w:hint="eastAsia" w:ascii="Times New Roman" w:hAnsi="Times New Roman" w:cs="Times New Roman"/>
          <w:lang w:val="en-US" w:eastAsia="zh-CN" w:bidi="ar"/>
        </w:rPr>
        <w:t>环境</w:t>
      </w:r>
      <w:r>
        <w:rPr>
          <w:rFonts w:hint="eastAsia" w:ascii="Times New Roman" w:hAnsi="Times New Roman" w:cs="Times New Roman"/>
          <w:lang w:bidi="ar"/>
        </w:rPr>
        <w:t>风险防控</w:t>
      </w:r>
      <w:bookmarkEnd w:id="66"/>
      <w:bookmarkEnd w:id="67"/>
      <w:bookmarkEnd w:id="68"/>
    </w:p>
    <w:p w14:paraId="5DC107A5">
      <w:pPr>
        <w:pStyle w:val="3"/>
        <w:pageBreakBefore w:val="0"/>
        <w:widowControl w:val="0"/>
        <w:kinsoku/>
        <w:wordWrap/>
        <w:overflowPunct/>
        <w:topLinePunct w:val="0"/>
        <w:autoSpaceDE/>
        <w:autoSpaceDN/>
        <w:bidi w:val="0"/>
        <w:adjustRightInd/>
        <w:snapToGrid w:val="0"/>
        <w:spacing w:before="0" w:beforeLines="0" w:after="0" w:afterLines="0" w:line="580" w:lineRule="exact"/>
        <w:ind w:firstLine="640" w:firstLineChars="200"/>
        <w:jc w:val="left"/>
        <w:textAlignment w:val="auto"/>
        <w:rPr>
          <w:rFonts w:hint="eastAsia" w:ascii="Times New Roman" w:hAnsi="Times New Roman" w:eastAsia="仿宋_GB2312" w:cs="Times New Roman"/>
          <w:bCs/>
          <w:kern w:val="44"/>
          <w:sz w:val="32"/>
          <w:szCs w:val="32"/>
          <w:lang w:val="en-US" w:eastAsia="zh-CN" w:bidi="ar-SA"/>
        </w:rPr>
      </w:pPr>
      <w:bookmarkStart w:id="70" w:name="_Toc6382"/>
      <w:bookmarkStart w:id="71" w:name="_Toc20308"/>
      <w:bookmarkStart w:id="72" w:name="_Toc9186"/>
      <w:r>
        <w:rPr>
          <w:rFonts w:hint="eastAsia" w:ascii="楷体_GB2312" w:hAnsi="楷体_GB2312" w:eastAsia="楷体_GB2312" w:cs="楷体_GB2312"/>
          <w:lang w:eastAsia="zh-CN"/>
        </w:rPr>
        <w:t>（二十）强化重点领域环境风险防范。</w:t>
      </w:r>
      <w:r>
        <w:rPr>
          <w:rFonts w:hint="eastAsia" w:ascii="Times New Roman" w:hAnsi="Times New Roman" w:eastAsia="仿宋_GB2312" w:cs="Times New Roman"/>
          <w:bCs/>
          <w:kern w:val="44"/>
          <w:sz w:val="32"/>
          <w:szCs w:val="32"/>
          <w:lang w:val="en-US" w:eastAsia="zh-CN" w:bidi="ar-SA"/>
        </w:rPr>
        <w:t>严格落实重金属污染物总量控制制度，“一企一策”“一地一策”分级分类整治重金属环境安全隐患，2030年底前全面完成整治。开展尾矿库污染状况动态评估和监测预警，动态更新分级分类监管清单，常态化整治环境安全隐患，推动运营单位规范运行污染防治设施。强化核与辐射安全监管，推行核技术利用单位分级分类管理，开展电磁辐射环境调查监测。</w:t>
      </w:r>
      <w:bookmarkEnd w:id="70"/>
      <w:bookmarkEnd w:id="71"/>
      <w:bookmarkEnd w:id="72"/>
    </w:p>
    <w:p w14:paraId="1C478ED2">
      <w:pPr>
        <w:pStyle w:val="3"/>
        <w:pageBreakBefore w:val="0"/>
        <w:widowControl w:val="0"/>
        <w:kinsoku/>
        <w:wordWrap/>
        <w:overflowPunct/>
        <w:topLinePunct w:val="0"/>
        <w:autoSpaceDE/>
        <w:autoSpaceDN/>
        <w:bidi w:val="0"/>
        <w:adjustRightInd/>
        <w:snapToGrid w:val="0"/>
        <w:spacing w:before="0" w:beforeLines="0" w:after="0" w:afterLines="0" w:line="580" w:lineRule="exact"/>
        <w:ind w:firstLine="640" w:firstLineChars="200"/>
        <w:jc w:val="left"/>
        <w:textAlignment w:val="auto"/>
        <w:rPr>
          <w:rFonts w:hint="eastAsia" w:ascii="Times New Roman" w:hAnsi="Times New Roman" w:eastAsia="仿宋_GB2312" w:cs="Times New Roman"/>
          <w:bCs/>
          <w:kern w:val="44"/>
          <w:sz w:val="32"/>
          <w:szCs w:val="32"/>
          <w:lang w:val="en-US" w:eastAsia="zh-CN" w:bidi="ar-SA"/>
        </w:rPr>
      </w:pPr>
      <w:bookmarkStart w:id="73" w:name="_Toc26416"/>
      <w:bookmarkStart w:id="74" w:name="_Toc5979"/>
      <w:bookmarkStart w:id="75" w:name="_Toc27507"/>
      <w:r>
        <w:rPr>
          <w:rFonts w:hint="eastAsia" w:ascii="楷体_GB2312" w:hAnsi="楷体_GB2312" w:eastAsia="楷体_GB2312" w:cs="楷体_GB2312"/>
          <w:lang w:eastAsia="zh-CN"/>
        </w:rPr>
        <w:t>（二十一）加强生态环境应急管理。</w:t>
      </w:r>
      <w:r>
        <w:rPr>
          <w:rFonts w:hint="eastAsia" w:ascii="Times New Roman" w:hAnsi="Times New Roman" w:eastAsia="仿宋_GB2312" w:cs="Times New Roman"/>
          <w:bCs/>
          <w:kern w:val="44"/>
          <w:sz w:val="32"/>
          <w:szCs w:val="32"/>
          <w:lang w:val="en-US" w:eastAsia="zh-CN" w:bidi="ar-SA"/>
        </w:rPr>
        <w:t>常态化开展全域环境风险源排查整治，紧盯化工园区、尾矿库等高风险点位，建立隐患排查整改长效机制。健全突发环境事件监测预警机制，提升长江、富水等重点流域环境风险预判感知水平。建设市级环境应急数字化指挥平台，健全应急物资保障和调度机制，加强应急队伍建设和实战演练。</w:t>
      </w:r>
      <w:bookmarkEnd w:id="73"/>
      <w:bookmarkEnd w:id="74"/>
      <w:bookmarkEnd w:id="75"/>
    </w:p>
    <w:bookmarkEnd w:id="69"/>
    <w:p w14:paraId="22101DDA">
      <w:pPr>
        <w:pStyle w:val="22"/>
        <w:pageBreakBefore w:val="0"/>
        <w:widowControl w:val="0"/>
        <w:numPr>
          <w:ilvl w:val="0"/>
          <w:numId w:val="0"/>
        </w:numPr>
        <w:kinsoku/>
        <w:wordWrap/>
        <w:overflowPunct/>
        <w:topLinePunct w:val="0"/>
        <w:autoSpaceDE/>
        <w:autoSpaceDN/>
        <w:bidi w:val="0"/>
        <w:adjustRightInd/>
        <w:snapToGrid w:val="0"/>
        <w:spacing w:line="580" w:lineRule="exact"/>
        <w:ind w:firstLine="640" w:firstLineChars="200"/>
        <w:jc w:val="left"/>
        <w:textAlignment w:val="auto"/>
        <w:rPr>
          <w:rFonts w:hint="default" w:ascii="Times New Roman" w:hAnsi="Times New Roman" w:cs="Times New Roman"/>
          <w:lang w:val="en-US" w:eastAsia="zh-CN" w:bidi="ar"/>
        </w:rPr>
      </w:pPr>
      <w:bookmarkStart w:id="76" w:name="_Toc4247"/>
      <w:bookmarkStart w:id="77" w:name="_Toc4493"/>
      <w:bookmarkStart w:id="78" w:name="_Toc29928"/>
      <w:bookmarkStart w:id="79" w:name="_Toc11454"/>
      <w:r>
        <w:rPr>
          <w:rFonts w:hint="eastAsia" w:ascii="Times New Roman" w:hAnsi="Times New Roman" w:cs="Times New Roman"/>
          <w:lang w:val="en-US" w:eastAsia="zh-CN" w:bidi="ar"/>
        </w:rPr>
        <w:t>九、</w:t>
      </w:r>
      <w:bookmarkEnd w:id="76"/>
      <w:bookmarkEnd w:id="77"/>
      <w:bookmarkEnd w:id="78"/>
      <w:bookmarkEnd w:id="79"/>
      <w:r>
        <w:rPr>
          <w:rFonts w:hint="eastAsia" w:ascii="Times New Roman" w:hAnsi="Times New Roman" w:cs="Times New Roman"/>
          <w:lang w:val="en-US" w:eastAsia="zh-CN" w:bidi="ar"/>
        </w:rPr>
        <w:t>深化生态文明体制改革</w:t>
      </w:r>
    </w:p>
    <w:p w14:paraId="31987C2E">
      <w:pPr>
        <w:pStyle w:val="3"/>
        <w:pageBreakBefore w:val="0"/>
        <w:widowControl w:val="0"/>
        <w:kinsoku/>
        <w:wordWrap/>
        <w:overflowPunct/>
        <w:topLinePunct w:val="0"/>
        <w:autoSpaceDE/>
        <w:autoSpaceDN/>
        <w:bidi w:val="0"/>
        <w:adjustRightInd/>
        <w:snapToGrid w:val="0"/>
        <w:spacing w:before="0" w:beforeLines="0" w:after="0" w:afterLines="0" w:line="580" w:lineRule="exact"/>
        <w:ind w:firstLine="640" w:firstLineChars="200"/>
        <w:jc w:val="left"/>
        <w:textAlignment w:val="auto"/>
        <w:rPr>
          <w:rFonts w:hint="eastAsia" w:ascii="Times New Roman" w:hAnsi="Times New Roman" w:eastAsia="仿宋_GB2312" w:cs="Times New Roman"/>
          <w:bCs/>
          <w:kern w:val="44"/>
          <w:sz w:val="32"/>
          <w:szCs w:val="32"/>
          <w:lang w:val="en-US" w:eastAsia="zh-CN" w:bidi="ar-SA"/>
        </w:rPr>
      </w:pPr>
      <w:bookmarkStart w:id="80" w:name="_Toc8346"/>
      <w:bookmarkStart w:id="81" w:name="_Toc24388"/>
      <w:bookmarkStart w:id="82" w:name="_Toc31049"/>
      <w:r>
        <w:rPr>
          <w:rFonts w:hint="eastAsia" w:ascii="楷体_GB2312" w:hAnsi="楷体_GB2312" w:eastAsia="楷体_GB2312" w:cs="楷体_GB2312"/>
          <w:lang w:eastAsia="zh-CN"/>
        </w:rPr>
        <w:t>（二十二）健全生态环境监管机制。</w:t>
      </w:r>
      <w:r>
        <w:rPr>
          <w:rFonts w:hint="eastAsia" w:ascii="Times New Roman" w:hAnsi="Times New Roman" w:eastAsia="仿宋_GB2312" w:cs="Times New Roman"/>
          <w:bCs/>
          <w:kern w:val="44"/>
          <w:sz w:val="32"/>
          <w:szCs w:val="32"/>
          <w:lang w:val="en-US" w:eastAsia="zh-CN" w:bidi="ar-SA"/>
        </w:rPr>
        <w:t>落实并动态更新生态环境保护责任清单，扎实推进中央生态环境保护督察反馈问题整改。深化环境信息依法披露制度改革。发挥公众和媒体监督作用，健全公众生态环境监督举报反馈机制。</w:t>
      </w:r>
    </w:p>
    <w:p w14:paraId="24B784C2">
      <w:pPr>
        <w:pStyle w:val="3"/>
        <w:pageBreakBefore w:val="0"/>
        <w:widowControl w:val="0"/>
        <w:kinsoku/>
        <w:wordWrap/>
        <w:overflowPunct/>
        <w:topLinePunct w:val="0"/>
        <w:autoSpaceDE/>
        <w:autoSpaceDN/>
        <w:bidi w:val="0"/>
        <w:adjustRightInd/>
        <w:snapToGrid w:val="0"/>
        <w:spacing w:before="0" w:beforeLines="0" w:after="0" w:afterLines="0" w:line="580" w:lineRule="exact"/>
        <w:ind w:firstLine="640" w:firstLineChars="200"/>
        <w:jc w:val="both"/>
        <w:textAlignment w:val="auto"/>
        <w:rPr>
          <w:rFonts w:hint="eastAsia" w:ascii="Times New Roman" w:hAnsi="Times New Roman" w:eastAsia="仿宋_GB2312" w:cs="Times New Roman"/>
          <w:bCs/>
          <w:kern w:val="44"/>
          <w:sz w:val="32"/>
          <w:szCs w:val="32"/>
          <w:lang w:val="en-US" w:eastAsia="zh-CN" w:bidi="ar-SA"/>
        </w:rPr>
      </w:pPr>
      <w:r>
        <w:rPr>
          <w:rFonts w:hint="eastAsia" w:ascii="楷体_GB2312" w:hAnsi="楷体_GB2312" w:eastAsia="楷体_GB2312" w:cs="楷体_GB2312"/>
          <w:lang w:val="en-US" w:eastAsia="zh-CN"/>
        </w:rPr>
        <w:t>（二十三）深化全链条制度综合改革。</w:t>
      </w:r>
      <w:r>
        <w:rPr>
          <w:rFonts w:hint="eastAsia" w:ascii="Times New Roman" w:hAnsi="Times New Roman" w:eastAsia="仿宋_GB2312" w:cs="Times New Roman"/>
          <w:bCs/>
          <w:kern w:val="44"/>
          <w:sz w:val="32"/>
          <w:szCs w:val="32"/>
          <w:lang w:val="en-US" w:eastAsia="zh-CN" w:bidi="ar-SA"/>
        </w:rPr>
        <w:t>聚焦美丽黄石建设，推动地方生态环境标准建设，开展标准实施情况评估。统筹推进生态环境损害赔偿工作。实施生态环境分区管控精细化管理，开展环评“全链条”制度改革试点，严格落实优先、重点、一般三类环境管控单元管理要求。</w:t>
      </w:r>
    </w:p>
    <w:p w14:paraId="7ABA6E79">
      <w:pPr>
        <w:pStyle w:val="3"/>
        <w:pageBreakBefore w:val="0"/>
        <w:widowControl w:val="0"/>
        <w:kinsoku/>
        <w:wordWrap/>
        <w:overflowPunct/>
        <w:topLinePunct w:val="0"/>
        <w:autoSpaceDE/>
        <w:autoSpaceDN/>
        <w:bidi w:val="0"/>
        <w:adjustRightInd/>
        <w:snapToGrid w:val="0"/>
        <w:spacing w:before="0" w:beforeLines="0" w:after="0" w:afterLines="0" w:line="580" w:lineRule="exact"/>
        <w:ind w:firstLine="640" w:firstLineChars="200"/>
        <w:jc w:val="both"/>
        <w:textAlignment w:val="auto"/>
        <w:rPr>
          <w:rFonts w:hint="default" w:ascii="Times New Roman" w:hAnsi="Times New Roman" w:eastAsia="仿宋_GB2312" w:cs="Times New Roman"/>
          <w:bCs/>
          <w:kern w:val="44"/>
          <w:sz w:val="32"/>
          <w:szCs w:val="32"/>
          <w:lang w:val="en-US" w:eastAsia="zh-CN" w:bidi="ar-SA"/>
        </w:rPr>
      </w:pPr>
      <w:r>
        <w:rPr>
          <w:rFonts w:hint="eastAsia" w:ascii="楷体_GB2312" w:hAnsi="楷体_GB2312" w:eastAsia="楷体_GB2312" w:cs="楷体_GB2312"/>
          <w:lang w:val="en-US" w:eastAsia="zh-CN"/>
        </w:rPr>
        <w:t>（二十四）创新生态赋能高质量发展。</w:t>
      </w:r>
      <w:r>
        <w:rPr>
          <w:rFonts w:hint="eastAsia" w:ascii="Times New Roman" w:hAnsi="Times New Roman" w:eastAsia="仿宋_GB2312" w:cs="Times New Roman"/>
          <w:bCs/>
          <w:kern w:val="44"/>
          <w:sz w:val="32"/>
          <w:szCs w:val="32"/>
          <w:lang w:val="en-US" w:eastAsia="zh-CN" w:bidi="ar-SA"/>
        </w:rPr>
        <w:t>推进生态系统生产总值（GEP）核算与应用，健全核算结果在生态补偿、绿色发展考核中的应用机制。依托大冶湖、网湖、磁湖等湖库资源，发展特色养殖、文旅康养等绿色水经济，培育森林康养等新业态，探索农业、湿地碳汇交易。深化绿色科技创新与产业创新融合，培育优质应用场景。构建绿色“资源－资产－金融”循环制度，推广绿色信贷、碳质押等金融产品，推进生态环境导向的开发（EOD）模式项目落地。</w:t>
      </w:r>
    </w:p>
    <w:p w14:paraId="529CE1D4">
      <w:pPr>
        <w:pStyle w:val="3"/>
        <w:pageBreakBefore w:val="0"/>
        <w:widowControl w:val="0"/>
        <w:kinsoku/>
        <w:wordWrap/>
        <w:overflowPunct/>
        <w:topLinePunct w:val="0"/>
        <w:autoSpaceDE/>
        <w:autoSpaceDN/>
        <w:bidi w:val="0"/>
        <w:adjustRightInd/>
        <w:snapToGrid w:val="0"/>
        <w:spacing w:before="0" w:beforeLines="0" w:after="0" w:afterLines="0" w:line="580" w:lineRule="exact"/>
        <w:ind w:firstLine="640" w:firstLineChars="200"/>
        <w:jc w:val="both"/>
        <w:textAlignment w:val="auto"/>
        <w:rPr>
          <w:rFonts w:hint="eastAsia" w:ascii="Times New Roman" w:hAnsi="Times New Roman" w:eastAsia="仿宋_GB2312" w:cs="Times New Roman"/>
          <w:bCs/>
          <w:kern w:val="44"/>
          <w:sz w:val="32"/>
          <w:szCs w:val="32"/>
          <w:lang w:val="en-US" w:eastAsia="zh-CN" w:bidi="ar-SA"/>
        </w:rPr>
      </w:pPr>
      <w:r>
        <w:rPr>
          <w:rFonts w:hint="eastAsia" w:ascii="楷体_GB2312" w:hAnsi="楷体_GB2312" w:eastAsia="楷体_GB2312" w:cs="楷体_GB2312"/>
          <w:lang w:val="en-US" w:eastAsia="zh-CN"/>
        </w:rPr>
        <w:t>（二十五）加强生态环境科技创新。</w:t>
      </w:r>
      <w:r>
        <w:rPr>
          <w:rFonts w:hint="eastAsia" w:ascii="Times New Roman" w:hAnsi="Times New Roman" w:eastAsia="仿宋_GB2312" w:cs="Times New Roman"/>
          <w:bCs/>
          <w:kern w:val="44"/>
          <w:sz w:val="32"/>
          <w:szCs w:val="32"/>
          <w:lang w:val="en-US" w:eastAsia="zh-CN" w:bidi="ar-SA"/>
        </w:rPr>
        <w:t>建设美丽黄石数字化治理体系，强化综合管理信息化平台建设，加强数据资源集成共享和综合开发利用，深化人工智能技术应用。实施生态环境科技人才培养工程，深化与生态环境部、省生态环境厅直属单位、高等院校的科技合作，推动研发成果及科研能力落地转化。培育生态环境科技创新企业，支持引入孵化绿色技术创新项目。完善环保公益宣传和志愿服务网络平台。</w:t>
      </w:r>
      <w:bookmarkEnd w:id="80"/>
      <w:bookmarkEnd w:id="81"/>
      <w:bookmarkEnd w:id="82"/>
    </w:p>
    <w:p w14:paraId="1CFC9972">
      <w:pPr>
        <w:pStyle w:val="23"/>
        <w:pageBreakBefore w:val="0"/>
        <w:widowControl w:val="0"/>
        <w:tabs>
          <w:tab w:val="clear" w:pos="2240"/>
        </w:tabs>
        <w:kinsoku/>
        <w:wordWrap/>
        <w:overflowPunct/>
        <w:topLinePunct w:val="0"/>
        <w:autoSpaceDE/>
        <w:autoSpaceDN/>
        <w:bidi w:val="0"/>
        <w:adjustRightInd/>
        <w:snapToGrid w:val="0"/>
        <w:spacing w:before="0" w:beforeLines="0" w:after="0" w:afterLines="0" w:line="580" w:lineRule="exact"/>
        <w:ind w:firstLine="640" w:firstLineChars="200"/>
        <w:jc w:val="both"/>
        <w:textAlignment w:val="auto"/>
        <w:rPr>
          <w:rFonts w:hint="eastAsia" w:ascii="Times New Roman" w:hAnsi="Times New Roman" w:eastAsia="仿宋_GB2312" w:cs="Times New Roman"/>
          <w:bCs/>
          <w:kern w:val="44"/>
          <w:sz w:val="32"/>
          <w:szCs w:val="32"/>
          <w:lang w:val="en-US" w:eastAsia="zh-CN" w:bidi="ar-SA"/>
        </w:rPr>
      </w:pPr>
      <w:bookmarkStart w:id="83" w:name="_Toc29632"/>
      <w:bookmarkStart w:id="84" w:name="_Toc22101"/>
      <w:bookmarkStart w:id="85" w:name="_Toc27699"/>
      <w:r>
        <w:rPr>
          <w:rFonts w:hint="eastAsia" w:ascii="楷体_GB2312" w:hAnsi="楷体_GB2312" w:eastAsia="楷体_GB2312" w:cs="楷体_GB2312"/>
          <w:kern w:val="2"/>
          <w:sz w:val="32"/>
          <w:szCs w:val="32"/>
          <w:lang w:val="en-US" w:eastAsia="zh-CN" w:bidi="ar"/>
        </w:rPr>
        <w:t>（二十六）提升监测现代化水平。</w:t>
      </w:r>
      <w:r>
        <w:rPr>
          <w:rFonts w:hint="eastAsia" w:ascii="Times New Roman" w:hAnsi="Times New Roman" w:eastAsia="仿宋_GB2312" w:cs="Times New Roman"/>
          <w:bCs/>
          <w:kern w:val="44"/>
          <w:sz w:val="32"/>
          <w:szCs w:val="32"/>
          <w:lang w:val="en-US" w:eastAsia="zh-CN" w:bidi="ar-SA"/>
        </w:rPr>
        <w:t>优化地表水环境质量监测网络，实现重要江河湖泊水功能区全覆盖；优化城市空气质量监测网络，深化PM2.5和O3协同控制监测；完善土壤和地下水环境监测网络，定期开展环境风险源监测。推进危险废物环境管理全过程信息化，支持企业数智监控设备升级，强化危废利用处置设施污染排放在线监测。构建覆盖重要生态功能区、自然保护地、生态保护红线等重要生态空间的立体化生态质量监测网络。</w:t>
      </w:r>
      <w:bookmarkEnd w:id="83"/>
      <w:bookmarkEnd w:id="84"/>
      <w:bookmarkEnd w:id="85"/>
    </w:p>
    <w:p w14:paraId="520DC812">
      <w:pPr>
        <w:pStyle w:val="3"/>
        <w:pageBreakBefore w:val="0"/>
        <w:widowControl w:val="0"/>
        <w:kinsoku/>
        <w:wordWrap/>
        <w:overflowPunct/>
        <w:topLinePunct w:val="0"/>
        <w:autoSpaceDE/>
        <w:autoSpaceDN/>
        <w:bidi w:val="0"/>
        <w:adjustRightInd/>
        <w:snapToGrid w:val="0"/>
        <w:spacing w:before="0" w:beforeLines="0" w:after="0" w:afterLines="0" w:line="580" w:lineRule="exact"/>
        <w:ind w:firstLine="640" w:firstLineChars="200"/>
        <w:jc w:val="both"/>
        <w:textAlignment w:val="auto"/>
        <w:rPr>
          <w:rFonts w:hint="eastAsia" w:ascii="Times New Roman" w:hAnsi="Times New Roman" w:eastAsia="仿宋_GB2312" w:cs="Times New Roman"/>
          <w:bCs/>
          <w:kern w:val="44"/>
          <w:sz w:val="32"/>
          <w:szCs w:val="32"/>
          <w:lang w:val="en-US" w:eastAsia="zh-CN" w:bidi="ar-SA"/>
        </w:rPr>
      </w:pPr>
      <w:bookmarkStart w:id="86" w:name="_Toc28469"/>
      <w:bookmarkStart w:id="87" w:name="_Toc19938"/>
      <w:bookmarkStart w:id="88" w:name="_Toc15530"/>
      <w:bookmarkStart w:id="89" w:name="_Toc11344"/>
      <w:r>
        <w:rPr>
          <w:rFonts w:hint="eastAsia" w:ascii="楷体_GB2312" w:hAnsi="楷体_GB2312" w:eastAsia="楷体_GB2312" w:cs="楷体_GB2312"/>
          <w:kern w:val="2"/>
          <w:sz w:val="32"/>
          <w:szCs w:val="32"/>
          <w:lang w:val="en-US" w:eastAsia="zh-CN" w:bidi="ar"/>
        </w:rPr>
        <w:t>（二十七）强化生态环境执法能力</w:t>
      </w:r>
      <w:bookmarkEnd w:id="86"/>
      <w:bookmarkEnd w:id="87"/>
      <w:bookmarkEnd w:id="88"/>
      <w:bookmarkEnd w:id="89"/>
      <w:r>
        <w:rPr>
          <w:rFonts w:hint="eastAsia" w:ascii="楷体_GB2312" w:hAnsi="楷体_GB2312" w:eastAsia="楷体_GB2312" w:cs="楷体_GB2312"/>
          <w:kern w:val="2"/>
          <w:sz w:val="32"/>
          <w:szCs w:val="32"/>
          <w:lang w:val="en-US" w:eastAsia="zh-CN" w:bidi="ar"/>
        </w:rPr>
        <w:t>。</w:t>
      </w:r>
      <w:r>
        <w:rPr>
          <w:rFonts w:hint="eastAsia" w:ascii="Times New Roman" w:hAnsi="Times New Roman" w:eastAsia="仿宋_GB2312" w:cs="Times New Roman"/>
          <w:bCs/>
          <w:kern w:val="44"/>
          <w:sz w:val="32"/>
          <w:szCs w:val="32"/>
          <w:lang w:val="en-US" w:eastAsia="zh-CN" w:bidi="ar-SA"/>
        </w:rPr>
        <w:t>完善生态环境执法体制机制建设。优化配置执法队伍和装备力量，提升环境执法信息化、智能化水平和非现场执法能力，推动生态环境监管服务向基层延伸。完善执法标准体系，健全跨部门协调机制，强化执法人员专业培训，加强遥感卫星、无人机等新技术新设备运用。深化跨区域跨流域联合执法、交叉执法。扎实开展生态环境执法大练兵和行政执法稽查，促进科学、精准、规范执法。</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5CF9A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8296" w:type="dxa"/>
            <w:noWrap w:val="0"/>
            <w:vAlign w:val="center"/>
          </w:tcPr>
          <w:p w14:paraId="4C22A0DD">
            <w:pPr>
              <w:widowControl/>
              <w:adjustRightInd w:val="0"/>
              <w:spacing w:line="240" w:lineRule="auto"/>
              <w:ind w:firstLine="0" w:firstLineChars="0"/>
              <w:jc w:val="center"/>
              <w:rPr>
                <w:rFonts w:hint="default" w:ascii="仿宋_GB2312"/>
                <w:b/>
                <w:bCs/>
                <w:sz w:val="24"/>
                <w:szCs w:val="24"/>
                <w:lang w:val="en-US"/>
              </w:rPr>
            </w:pPr>
            <w:r>
              <w:rPr>
                <w:rFonts w:hint="eastAsia" w:ascii="楷体_GB2312" w:hAnsi="楷体_GB2312" w:eastAsia="楷体_GB2312" w:cs="楷体_GB2312"/>
                <w:b w:val="0"/>
                <w:bCs w:val="0"/>
                <w:sz w:val="24"/>
                <w:szCs w:val="24"/>
                <w:lang w:val="en-US" w:eastAsia="zh-CN"/>
              </w:rPr>
              <w:t>专栏8  环境治理能力建设工程</w:t>
            </w:r>
          </w:p>
        </w:tc>
      </w:tr>
      <w:tr w14:paraId="464D5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noWrap w:val="0"/>
            <w:vAlign w:val="top"/>
          </w:tcPr>
          <w:p w14:paraId="6D9C5B23">
            <w:pPr>
              <w:keepNext w:val="0"/>
              <w:keepLines w:val="0"/>
              <w:pageBreakBefore w:val="0"/>
              <w:widowControl w:val="0"/>
              <w:kinsoku/>
              <w:wordWrap/>
              <w:overflowPunct/>
              <w:topLinePunct w:val="0"/>
              <w:autoSpaceDE/>
              <w:autoSpaceDN/>
              <w:bidi w:val="0"/>
              <w:adjustRightInd/>
              <w:snapToGrid w:val="0"/>
              <w:spacing w:line="360" w:lineRule="auto"/>
              <w:ind w:firstLine="602"/>
              <w:textAlignment w:val="auto"/>
              <w:rPr>
                <w:rFonts w:hint="eastAsia" w:ascii="仿宋_GB2312"/>
                <w:b w:val="0"/>
                <w:bCs w:val="0"/>
                <w:sz w:val="24"/>
                <w:szCs w:val="24"/>
              </w:rPr>
            </w:pPr>
            <w:r>
              <w:rPr>
                <w:rFonts w:hint="eastAsia" w:ascii="仿宋_GB2312"/>
                <w:b/>
                <w:bCs/>
                <w:sz w:val="24"/>
                <w:szCs w:val="24"/>
                <w:lang w:val="en-US" w:eastAsia="zh-CN"/>
              </w:rPr>
              <w:t>环境监测监控网络建设：</w:t>
            </w:r>
            <w:r>
              <w:rPr>
                <w:rFonts w:hint="eastAsia" w:ascii="仿宋_GB2312"/>
                <w:b w:val="0"/>
                <w:bCs w:val="0"/>
                <w:sz w:val="24"/>
                <w:szCs w:val="24"/>
                <w:lang w:val="en-US" w:eastAsia="zh-CN"/>
              </w:rPr>
              <w:t>优化大气、水、土壤、地下水、噪声、生态监测网络，建设大冶市重点流域水质智能监测预警平台，在梁子湖、大冶湖、富水流域干流及支流、饮用水源地、重点污染源周边布设智能水质监测站。</w:t>
            </w:r>
          </w:p>
          <w:p w14:paraId="64E6C8CE">
            <w:pPr>
              <w:keepNext w:val="0"/>
              <w:keepLines w:val="0"/>
              <w:pageBreakBefore w:val="0"/>
              <w:widowControl w:val="0"/>
              <w:kinsoku/>
              <w:wordWrap/>
              <w:overflowPunct/>
              <w:topLinePunct w:val="0"/>
              <w:autoSpaceDE/>
              <w:autoSpaceDN/>
              <w:bidi w:val="0"/>
              <w:adjustRightInd/>
              <w:snapToGrid w:val="0"/>
              <w:spacing w:line="360" w:lineRule="auto"/>
              <w:ind w:firstLine="602"/>
              <w:textAlignment w:val="auto"/>
              <w:rPr>
                <w:rFonts w:hint="eastAsia" w:ascii="仿宋_GB2312" w:eastAsia="仿宋_GB2312"/>
                <w:sz w:val="24"/>
                <w:szCs w:val="24"/>
                <w:lang w:eastAsia="zh-CN"/>
              </w:rPr>
            </w:pPr>
            <w:r>
              <w:rPr>
                <w:rFonts w:hint="eastAsia" w:ascii="仿宋_GB2312"/>
                <w:b/>
                <w:bCs/>
                <w:sz w:val="24"/>
                <w:szCs w:val="24"/>
              </w:rPr>
              <w:t>环境应急能力建设工程：</w:t>
            </w:r>
            <w:r>
              <w:rPr>
                <w:rFonts w:hint="eastAsia" w:ascii="仿宋_GB2312"/>
                <w:b w:val="0"/>
                <w:bCs w:val="0"/>
                <w:sz w:val="24"/>
                <w:szCs w:val="24"/>
              </w:rPr>
              <w:t>推进牯牛洲长江取水工程建设，配套40万吨/日取水泵房和原水管网，完善应急供水保障体系，提升突发供水事件处置能力。</w:t>
            </w:r>
          </w:p>
        </w:tc>
      </w:tr>
    </w:tbl>
    <w:p w14:paraId="1987C9F0">
      <w:pPr>
        <w:pStyle w:val="22"/>
        <w:keepNext/>
        <w:keepLines/>
        <w:pageBreakBefore w:val="0"/>
        <w:widowControl w:val="0"/>
        <w:kinsoku/>
        <w:wordWrap/>
        <w:overflowPunct/>
        <w:topLinePunct w:val="0"/>
        <w:autoSpaceDE/>
        <w:autoSpaceDN/>
        <w:bidi w:val="0"/>
        <w:adjustRightInd/>
        <w:snapToGrid w:val="0"/>
        <w:spacing w:line="580" w:lineRule="exact"/>
        <w:ind w:firstLine="640" w:firstLineChars="200"/>
        <w:jc w:val="left"/>
        <w:textAlignment w:val="auto"/>
        <w:rPr>
          <w:rFonts w:hint="eastAsia" w:ascii="Times New Roman" w:hAnsi="Times New Roman" w:cs="Times New Roman"/>
          <w:lang w:bidi="ar"/>
        </w:rPr>
      </w:pPr>
      <w:bookmarkStart w:id="90" w:name="_Toc30019"/>
      <w:bookmarkStart w:id="91" w:name="_Toc29191"/>
      <w:bookmarkStart w:id="92" w:name="_Toc7490"/>
      <w:bookmarkStart w:id="93" w:name="_Toc6031"/>
      <w:r>
        <w:rPr>
          <w:rFonts w:hint="eastAsia" w:ascii="Times New Roman" w:hAnsi="Times New Roman" w:cs="Times New Roman"/>
          <w:lang w:val="en-US" w:eastAsia="zh-CN" w:bidi="ar"/>
        </w:rPr>
        <w:t>十、组织实施</w:t>
      </w:r>
      <w:bookmarkEnd w:id="90"/>
      <w:bookmarkEnd w:id="91"/>
      <w:bookmarkEnd w:id="92"/>
      <w:bookmarkEnd w:id="93"/>
    </w:p>
    <w:p w14:paraId="131A944C">
      <w:pPr>
        <w:pageBreakBefore w:val="0"/>
        <w:widowControl w:val="0"/>
        <w:kinsoku/>
        <w:wordWrap/>
        <w:overflowPunct/>
        <w:topLinePunct w:val="0"/>
        <w:autoSpaceDE/>
        <w:autoSpaceDN/>
        <w:bidi w:val="0"/>
        <w:adjustRightInd/>
        <w:snapToGrid w:val="0"/>
        <w:spacing w:line="580" w:lineRule="exact"/>
        <w:textAlignment w:val="auto"/>
      </w:pPr>
      <w:r>
        <w:rPr>
          <w:rFonts w:hint="eastAsia"/>
        </w:rPr>
        <w:t>完善市级统筹、县（市、区）抓落实的工作机制，压实各级</w:t>
      </w:r>
      <w:r>
        <w:rPr>
          <w:rFonts w:hint="eastAsia"/>
          <w:lang w:eastAsia="zh-CN"/>
        </w:rPr>
        <w:t>党委、政府</w:t>
      </w:r>
      <w:r>
        <w:rPr>
          <w:rFonts w:hint="eastAsia"/>
        </w:rPr>
        <w:t>主体责任和部门监管责任。建立美丽黄石建设重大工程“谋划设计—过程管理—实施评估”全周期管理机制，强化资金和要素保障。深化多元化投融资机制，积极争取中央和省级财政资金，统筹用好地方政府专项债券，发挥绿色信贷、绿色债券作用，引导社会资本参与。深入践行习近平生态文明思想，深化绿色家庭、绿色学校、绿色社区等创建行动，营造全社会共建共享的浓厚氛围。对规划实施情况实行动态监测，适时开展中期评估和总结评估。</w:t>
      </w:r>
    </w:p>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FAC4BEFB-344C-4262-B3C1-C37C3ECA7D5F}"/>
  </w:font>
  <w:font w:name="黑体">
    <w:panose1 w:val="02010609060101010101"/>
    <w:charset w:val="86"/>
    <w:family w:val="auto"/>
    <w:pitch w:val="default"/>
    <w:sig w:usb0="800002BF" w:usb1="38CF7CFA" w:usb2="00000016" w:usb3="00000000" w:csb0="00040001" w:csb1="00000000"/>
    <w:embedRegular r:id="rId2" w:fontKey="{567A4979-40EF-4FEA-8952-3C6CC0406B55}"/>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15CED832-696C-4FA3-9B69-E969CF18A8DE}"/>
  </w:font>
  <w:font w:name="方正小标宋_GBK">
    <w:panose1 w:val="02000000000000000000"/>
    <w:charset w:val="86"/>
    <w:family w:val="auto"/>
    <w:pitch w:val="default"/>
    <w:sig w:usb0="A00002BF" w:usb1="38CF7CFA" w:usb2="00082016" w:usb3="00000000" w:csb0="00040001" w:csb1="00000000"/>
    <w:embedRegular r:id="rId4" w:fontKey="{7E4677DD-1928-4689-8489-E6F0525C463A}"/>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embedRegular r:id="rId5" w:fontKey="{200844F9-0D59-4CC9-BF49-7943EF65319D}"/>
  </w:font>
  <w:font w:name="方正公文小标宋">
    <w:panose1 w:val="02000500000000000000"/>
    <w:charset w:val="86"/>
    <w:family w:val="auto"/>
    <w:pitch w:val="default"/>
    <w:sig w:usb0="A00002BF" w:usb1="38CF7CFA" w:usb2="00000016" w:usb3="00000000" w:csb0="00040001" w:csb1="00000000"/>
    <w:embedRegular r:id="rId6" w:fontKey="{50649DCA-5551-4599-A88A-F4F92627754B}"/>
  </w:font>
  <w:font w:name="Cambria">
    <w:panose1 w:val="02040503050406030204"/>
    <w:charset w:val="00"/>
    <w:family w:val="roman"/>
    <w:pitch w:val="default"/>
    <w:sig w:usb0="E00002FF" w:usb1="400004FF" w:usb2="00000000" w:usb3="00000000" w:csb0="2000019F" w:csb1="00000000"/>
    <w:embedRegular r:id="rId7" w:fontKey="{6133E85C-127C-42BE-B532-BB4513F7909E}"/>
  </w:font>
  <w:font w:name="WPSEMBED15">
    <w:panose1 w:val="02000500000000000000"/>
    <w:charset w:val="86"/>
    <w:family w:val="auto"/>
    <w:pitch w:val="default"/>
    <w:sig w:usb0="A00002BF" w:usb1="38CF7CFA" w:usb2="00000016" w:usb3="00000000" w:csb0="00040001" w:csb1="00000000"/>
  </w:font>
  <w:font w:name="WPSEMBED14">
    <w:panose1 w:val="02010609030101010101"/>
    <w:charset w:val="86"/>
    <w:family w:val="auto"/>
    <w:pitch w:val="default"/>
    <w:sig w:usb0="00000001" w:usb1="080E0000" w:usb2="00000000" w:usb3="00000000" w:csb0="00040000" w:csb1="00000000"/>
  </w:font>
  <w:font w:name="WPSEMBED12">
    <w:panose1 w:val="02010609030101010101"/>
    <w:charset w:val="86"/>
    <w:family w:val="auto"/>
    <w:pitch w:val="default"/>
    <w:sig w:usb0="00000001" w:usb1="080E0000" w:usb2="00000000" w:usb3="00000000" w:csb0="00040000" w:csb1="00000000"/>
  </w:font>
  <w:font w:name="WPSEMBED13">
    <w:panose1 w:val="02000000000000000000"/>
    <w:charset w:val="86"/>
    <w:family w:val="auto"/>
    <w:pitch w:val="default"/>
    <w:sig w:usb0="A00002BF" w:usb1="38CF7CFA" w:usb2="00082016" w:usb3="00000000" w:csb0="00040001" w:csb1="00000000"/>
  </w:font>
  <w:font w:name="Gulim">
    <w:panose1 w:val="020B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8111F">
    <w:pPr>
      <w:pStyle w:val="11"/>
      <w:ind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37" name="文本框 23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C74F2CC">
                          <w:pPr>
                            <w:pStyle w:val="11"/>
                            <w:ind w:firstLine="360"/>
                            <w:jc w:val="center"/>
                          </w:pPr>
                          <w:r>
                            <w:fldChar w:fldCharType="begin"/>
                          </w:r>
                          <w:r>
                            <w:instrText xml:space="preserve">PAGE   \* MERGEFORMAT</w:instrText>
                          </w:r>
                          <w:r>
                            <w:fldChar w:fldCharType="separate"/>
                          </w:r>
                          <w:r>
                            <w:rPr>
                              <w:lang w:val="zh-CN"/>
                            </w:rPr>
                            <w:t>2</w:t>
                          </w:r>
                          <w:r>
                            <w:fldChar w:fldCharType="end"/>
                          </w:r>
                        </w:p>
                        <w:p w14:paraId="73A3E4D4"/>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s0lY7tAAAAAFAQAADwAAAAAAAAABACAAAAAiAAAAZHJzL2Rvd25yZXYu&#10;eG1sUEsBAhQAFAAAAAgAh07iQLcJcHQ8AgAAdQQAAA4AAAAAAAAAAQAgAAAAHwEAAGRycy9lMm9E&#10;b2MueG1sUEsFBgAAAAAGAAYAWQEAAM0FAAAAAA==&#10;">
              <v:fill on="f" focussize="0,0"/>
              <v:stroke on="f" weight="0.5pt"/>
              <v:imagedata o:title=""/>
              <o:lock v:ext="edit" aspectratio="f"/>
              <v:textbox inset="0mm,0mm,0mm,0mm" style="mso-fit-shape-to-text:t;">
                <w:txbxContent>
                  <w:p w14:paraId="7C74F2CC">
                    <w:pPr>
                      <w:pStyle w:val="11"/>
                      <w:ind w:firstLine="360"/>
                      <w:jc w:val="center"/>
                    </w:pPr>
                    <w:r>
                      <w:fldChar w:fldCharType="begin"/>
                    </w:r>
                    <w:r>
                      <w:instrText xml:space="preserve">PAGE   \* MERGEFORMAT</w:instrText>
                    </w:r>
                    <w:r>
                      <w:fldChar w:fldCharType="separate"/>
                    </w:r>
                    <w:r>
                      <w:rPr>
                        <w:lang w:val="zh-CN"/>
                      </w:rPr>
                      <w:t>2</w:t>
                    </w:r>
                    <w:r>
                      <w:fldChar w:fldCharType="end"/>
                    </w:r>
                  </w:p>
                  <w:p w14:paraId="73A3E4D4"/>
                </w:txbxContent>
              </v:textbox>
            </v:shape>
          </w:pict>
        </mc:Fallback>
      </mc:AlternateContent>
    </w:r>
  </w:p>
  <w:p w14:paraId="3D0F7508">
    <w:pPr>
      <w:pStyle w:val="11"/>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attachedTemplate r:id="rId1"/>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7075C8"/>
    <w:rsid w:val="01112123"/>
    <w:rsid w:val="03747A3A"/>
    <w:rsid w:val="03D54ED9"/>
    <w:rsid w:val="048761D7"/>
    <w:rsid w:val="06A44DB2"/>
    <w:rsid w:val="078D1C71"/>
    <w:rsid w:val="090E250F"/>
    <w:rsid w:val="0ADD5EF2"/>
    <w:rsid w:val="0BFE1B0E"/>
    <w:rsid w:val="0C885719"/>
    <w:rsid w:val="101979E0"/>
    <w:rsid w:val="12915A35"/>
    <w:rsid w:val="144849FE"/>
    <w:rsid w:val="151C12F1"/>
    <w:rsid w:val="15E92769"/>
    <w:rsid w:val="16BC60CF"/>
    <w:rsid w:val="18DC071D"/>
    <w:rsid w:val="1ACE5888"/>
    <w:rsid w:val="1CE44498"/>
    <w:rsid w:val="1CEE10D9"/>
    <w:rsid w:val="1F2D660A"/>
    <w:rsid w:val="200D301E"/>
    <w:rsid w:val="207075C8"/>
    <w:rsid w:val="221E7C3E"/>
    <w:rsid w:val="236C584E"/>
    <w:rsid w:val="24A75227"/>
    <w:rsid w:val="26BA76DF"/>
    <w:rsid w:val="26E97E8E"/>
    <w:rsid w:val="27C26965"/>
    <w:rsid w:val="29A273A6"/>
    <w:rsid w:val="2BCD36E8"/>
    <w:rsid w:val="2C1A4694"/>
    <w:rsid w:val="2C5223C6"/>
    <w:rsid w:val="311D5D39"/>
    <w:rsid w:val="318A192A"/>
    <w:rsid w:val="326B1452"/>
    <w:rsid w:val="35836A33"/>
    <w:rsid w:val="3A761731"/>
    <w:rsid w:val="3ACB7183"/>
    <w:rsid w:val="3C3A3AD4"/>
    <w:rsid w:val="3EEE30CB"/>
    <w:rsid w:val="3F570577"/>
    <w:rsid w:val="402E3A57"/>
    <w:rsid w:val="484823E8"/>
    <w:rsid w:val="4E9F70E0"/>
    <w:rsid w:val="4F1A03E3"/>
    <w:rsid w:val="51E246CB"/>
    <w:rsid w:val="54513D62"/>
    <w:rsid w:val="54AD437D"/>
    <w:rsid w:val="5A0957F1"/>
    <w:rsid w:val="5A2C64C9"/>
    <w:rsid w:val="5A754462"/>
    <w:rsid w:val="5D11137D"/>
    <w:rsid w:val="5D851045"/>
    <w:rsid w:val="5EF7128D"/>
    <w:rsid w:val="5F474342"/>
    <w:rsid w:val="5F767138"/>
    <w:rsid w:val="67DE0889"/>
    <w:rsid w:val="693B39B1"/>
    <w:rsid w:val="71013440"/>
    <w:rsid w:val="718627B6"/>
    <w:rsid w:val="71A63A80"/>
    <w:rsid w:val="73235788"/>
    <w:rsid w:val="74F20711"/>
    <w:rsid w:val="755D09D9"/>
    <w:rsid w:val="76472CC6"/>
    <w:rsid w:val="7B6B5B53"/>
    <w:rsid w:val="7C470A1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tabs>
        <w:tab w:val="left" w:pos="2240"/>
      </w:tabs>
      <w:snapToGrid w:val="0"/>
      <w:spacing w:line="580" w:lineRule="exact"/>
      <w:ind w:firstLine="640" w:firstLineChars="200"/>
      <w:jc w:val="both"/>
    </w:pPr>
    <w:rPr>
      <w:rFonts w:ascii="Times New Roman" w:hAnsi="Times New Roman" w:eastAsia="仿宋_GB2312" w:cs="Times New Roman"/>
      <w:kern w:val="2"/>
      <w:sz w:val="32"/>
      <w:szCs w:val="32"/>
      <w:lang w:val="en-US" w:eastAsia="zh-CN" w:bidi="ar-SA"/>
    </w:rPr>
  </w:style>
  <w:style w:type="paragraph" w:styleId="2">
    <w:name w:val="heading 1"/>
    <w:basedOn w:val="1"/>
    <w:next w:val="1"/>
    <w:qFormat/>
    <w:uiPriority w:val="9"/>
    <w:pPr>
      <w:keepNext/>
      <w:keepLines/>
      <w:ind w:firstLine="0" w:firstLineChars="0"/>
      <w:jc w:val="center"/>
      <w:outlineLvl w:val="0"/>
    </w:pPr>
    <w:rPr>
      <w:rFonts w:eastAsia="方正小标宋_GBK"/>
      <w:bCs/>
      <w:kern w:val="44"/>
    </w:rPr>
  </w:style>
  <w:style w:type="paragraph" w:styleId="3">
    <w:name w:val="heading 2"/>
    <w:basedOn w:val="1"/>
    <w:next w:val="1"/>
    <w:unhideWhenUsed/>
    <w:qFormat/>
    <w:uiPriority w:val="9"/>
    <w:pPr>
      <w:spacing w:before="50" w:beforeLines="50" w:after="50" w:afterLines="50"/>
      <w:ind w:firstLine="0" w:firstLineChars="0"/>
      <w:jc w:val="center"/>
      <w:outlineLvl w:val="1"/>
    </w:pPr>
    <w:rPr>
      <w:rFonts w:ascii="楷体" w:hAnsi="楷体" w:eastAsia="楷体" w:cs="楷体"/>
      <w:lang w:bidi="ar"/>
    </w:rPr>
  </w:style>
  <w:style w:type="paragraph" w:styleId="4">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paragraph" w:styleId="5">
    <w:name w:val="heading 4"/>
    <w:basedOn w:val="1"/>
    <w:next w:val="1"/>
    <w:unhideWhenUsed/>
    <w:qFormat/>
    <w:uiPriority w:val="0"/>
    <w:pPr>
      <w:spacing w:before="100" w:beforeAutospacing="1" w:after="100" w:afterAutospacing="1"/>
      <w:jc w:val="left"/>
      <w:outlineLvl w:val="3"/>
    </w:pPr>
    <w:rPr>
      <w:rFonts w:hint="eastAsia" w:ascii="宋体" w:hAnsi="宋体" w:eastAsia="宋体" w:cs="宋体"/>
      <w:b/>
      <w:bCs/>
      <w:kern w:val="0"/>
      <w:sz w:val="24"/>
      <w:szCs w:val="24"/>
      <w:lang w:val="en-US" w:eastAsia="zh-CN" w:bidi="ar"/>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6">
    <w:name w:val="Normal Indent"/>
    <w:basedOn w:val="1"/>
    <w:qFormat/>
    <w:uiPriority w:val="99"/>
    <w:pPr>
      <w:ind w:firstLine="420" w:firstLineChars="200"/>
    </w:pPr>
    <w:rPr>
      <w:rFonts w:eastAsia="宋体"/>
    </w:rPr>
  </w:style>
  <w:style w:type="paragraph" w:styleId="7">
    <w:name w:val="annotation text"/>
    <w:basedOn w:val="1"/>
    <w:unhideWhenUsed/>
    <w:qFormat/>
    <w:uiPriority w:val="99"/>
    <w:pPr>
      <w:jc w:val="left"/>
    </w:pPr>
  </w:style>
  <w:style w:type="paragraph" w:styleId="8">
    <w:name w:val="Body Text"/>
    <w:basedOn w:val="1"/>
    <w:semiHidden/>
    <w:qFormat/>
    <w:uiPriority w:val="0"/>
    <w:rPr>
      <w:rFonts w:ascii="仿宋" w:hAnsi="仿宋" w:eastAsia="仿宋" w:cs="仿宋"/>
      <w:sz w:val="31"/>
      <w:szCs w:val="31"/>
      <w:lang w:val="en-US" w:eastAsia="en-US" w:bidi="ar-SA"/>
    </w:rPr>
  </w:style>
  <w:style w:type="paragraph" w:styleId="9">
    <w:name w:val="Body Text Indent"/>
    <w:basedOn w:val="1"/>
    <w:next w:val="10"/>
    <w:qFormat/>
    <w:uiPriority w:val="99"/>
    <w:pPr>
      <w:spacing w:after="120"/>
      <w:ind w:left="420" w:leftChars="200"/>
    </w:pPr>
    <w:rPr>
      <w:rFonts w:ascii="Calibri" w:hAnsi="Calibri"/>
    </w:rPr>
  </w:style>
  <w:style w:type="paragraph" w:styleId="10">
    <w:name w:val="Body Text First Indent 2"/>
    <w:basedOn w:val="9"/>
    <w:next w:val="1"/>
    <w:qFormat/>
    <w:uiPriority w:val="0"/>
    <w:pPr>
      <w:ind w:firstLine="420"/>
    </w:pPr>
  </w:style>
  <w:style w:type="paragraph" w:styleId="11">
    <w:name w:val="footer"/>
    <w:basedOn w:val="1"/>
    <w:unhideWhenUsed/>
    <w:qFormat/>
    <w:uiPriority w:val="99"/>
    <w:pPr>
      <w:tabs>
        <w:tab w:val="center" w:pos="4153"/>
        <w:tab w:val="right" w:pos="8306"/>
        <w:tab w:val="clear" w:pos="2240"/>
      </w:tabs>
      <w:spacing w:line="240" w:lineRule="auto"/>
    </w:pPr>
    <w:rPr>
      <w:sz w:val="18"/>
      <w:szCs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 w:val="clear" w:pos="2240"/>
      </w:tabs>
      <w:snapToGrid w:val="0"/>
      <w:spacing w:line="240" w:lineRule="auto"/>
      <w:jc w:val="both"/>
      <w:outlineLvl w:val="9"/>
    </w:pPr>
    <w:rPr>
      <w:sz w:val="18"/>
    </w:rPr>
  </w:style>
  <w:style w:type="paragraph" w:styleId="13">
    <w:name w:val="toc 1"/>
    <w:basedOn w:val="1"/>
    <w:next w:val="1"/>
    <w:qFormat/>
    <w:uiPriority w:val="39"/>
  </w:style>
  <w:style w:type="paragraph" w:styleId="14">
    <w:name w:val="toc 2"/>
    <w:basedOn w:val="1"/>
    <w:next w:val="1"/>
    <w:qFormat/>
    <w:uiPriority w:val="0"/>
    <w:pPr>
      <w:ind w:left="420" w:leftChars="200"/>
    </w:pPr>
  </w:style>
  <w:style w:type="paragraph" w:styleId="15">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styleId="20">
    <w:name w:val="annotation reference"/>
    <w:basedOn w:val="18"/>
    <w:unhideWhenUsed/>
    <w:qFormat/>
    <w:uiPriority w:val="99"/>
    <w:rPr>
      <w:sz w:val="21"/>
      <w:szCs w:val="21"/>
    </w:rPr>
  </w:style>
  <w:style w:type="paragraph" w:customStyle="1" w:styleId="21">
    <w:name w:val="Normal Indent1"/>
    <w:basedOn w:val="1"/>
    <w:qFormat/>
    <w:uiPriority w:val="99"/>
    <w:pPr>
      <w:ind w:firstLine="200"/>
    </w:pPr>
  </w:style>
  <w:style w:type="paragraph" w:customStyle="1" w:styleId="22">
    <w:name w:val="一级章"/>
    <w:basedOn w:val="2"/>
    <w:next w:val="1"/>
    <w:qFormat/>
    <w:uiPriority w:val="0"/>
    <w:rPr>
      <w:rFonts w:ascii="黑体" w:hAnsi="黑体" w:eastAsia="黑体" w:cs="黑体"/>
    </w:rPr>
  </w:style>
  <w:style w:type="paragraph" w:customStyle="1" w:styleId="23">
    <w:name w:val="二级小节"/>
    <w:basedOn w:val="3"/>
    <w:next w:val="1"/>
    <w:qFormat/>
    <w:uiPriority w:val="0"/>
    <w:pPr>
      <w:ind w:firstLine="643"/>
    </w:pPr>
    <w:rPr>
      <w:rFonts w:hint="eastAsia"/>
    </w:rPr>
  </w:style>
  <w:style w:type="character" w:customStyle="1" w:styleId="24">
    <w:name w:val="font71"/>
    <w:basedOn w:val="18"/>
    <w:qFormat/>
    <w:uiPriority w:val="0"/>
    <w:rPr>
      <w:rFonts w:hint="eastAsia" w:ascii="宋体" w:hAnsi="宋体" w:eastAsia="宋体" w:cs="宋体"/>
      <w:b/>
      <w:bCs/>
      <w:color w:val="000000"/>
      <w:sz w:val="24"/>
      <w:szCs w:val="24"/>
      <w:u w:val="none"/>
    </w:rPr>
  </w:style>
  <w:style w:type="character" w:customStyle="1" w:styleId="25">
    <w:name w:val="font01"/>
    <w:basedOn w:val="18"/>
    <w:qFormat/>
    <w:uiPriority w:val="0"/>
    <w:rPr>
      <w:rFonts w:hint="eastAsia" w:ascii="宋体" w:hAnsi="宋体" w:eastAsia="宋体" w:cs="宋体"/>
      <w:color w:val="000000"/>
      <w:sz w:val="24"/>
      <w:szCs w:val="24"/>
      <w:u w:val="none"/>
    </w:rPr>
  </w:style>
  <w:style w:type="character" w:customStyle="1" w:styleId="26">
    <w:name w:val="font81"/>
    <w:basedOn w:val="18"/>
    <w:qFormat/>
    <w:uiPriority w:val="0"/>
    <w:rPr>
      <w:rFonts w:hint="default" w:ascii="Times New Roman" w:hAnsi="Times New Roman" w:cs="Times New Roman"/>
      <w:color w:val="000000"/>
      <w:sz w:val="24"/>
      <w:szCs w:val="24"/>
      <w:u w:val="none"/>
    </w:rPr>
  </w:style>
  <w:style w:type="character" w:customStyle="1" w:styleId="27">
    <w:name w:val="font101"/>
    <w:basedOn w:val="18"/>
    <w:qFormat/>
    <w:uiPriority w:val="0"/>
    <w:rPr>
      <w:rFonts w:hint="default" w:ascii="Times New Roman" w:hAnsi="Times New Roman" w:cs="Times New Roman"/>
      <w:color w:val="000000"/>
      <w:sz w:val="24"/>
      <w:szCs w:val="24"/>
      <w:u w:val="none"/>
    </w:rPr>
  </w:style>
  <w:style w:type="paragraph" w:customStyle="1" w:styleId="28">
    <w:name w:val="正文缩进1"/>
    <w:basedOn w:val="1"/>
    <w:next w:val="13"/>
    <w:qFormat/>
    <w:uiPriority w:val="0"/>
    <w:pPr>
      <w:spacing w:line="500" w:lineRule="exact"/>
      <w:ind w:right="26" w:rightChars="8" w:firstLine="640"/>
    </w:pPr>
    <w:rPr>
      <w:rFonts w:ascii="楷体_GB2312" w:eastAsia="楷体_GB2312"/>
      <w:szCs w:val="32"/>
    </w:rPr>
  </w:style>
  <w:style w:type="paragraph" w:customStyle="1" w:styleId="29">
    <w:name w:val="Table Text"/>
    <w:basedOn w:val="1"/>
    <w:semiHidden/>
    <w:qFormat/>
    <w:uiPriority w:val="0"/>
    <w:rPr>
      <w:rFonts w:ascii="宋体" w:hAnsi="宋体" w:eastAsia="宋体" w:cs="宋体"/>
      <w:sz w:val="23"/>
      <w:szCs w:val="23"/>
      <w:lang w:val="en-US" w:eastAsia="en-US" w:bidi="ar-SA"/>
    </w:rPr>
  </w:style>
  <w:style w:type="table" w:customStyle="1" w:styleId="30">
    <w:name w:val="Table Normal"/>
    <w:unhideWhenUsed/>
    <w:qFormat/>
    <w:uiPriority w:val="0"/>
    <w:tblPr>
      <w:tblCellMar>
        <w:top w:w="0" w:type="dxa"/>
        <w:left w:w="0" w:type="dxa"/>
        <w:bottom w:w="0" w:type="dxa"/>
        <w:right w:w="0" w:type="dxa"/>
      </w:tblCellMar>
    </w:tblPr>
  </w:style>
  <w:style w:type="character" w:customStyle="1" w:styleId="31">
    <w:name w:val="15"/>
    <w:qFormat/>
    <w:uiPriority w:val="0"/>
    <w:rPr>
      <w:rFonts w:hint="default" w:ascii="Times New Roman" w:hAnsi="Times New Roman" w:eastAsia="楷体" w:cs="Times New Roman"/>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xwechat_files\wxid_gyjw90yhomw522_0124\msg\file\2026-09\&#40644;&#30707;&#24066;&#29983;&#24577;&#29615;&#22659;&#8220;&#21313;&#20116;&#20116;&#8221;&#35268;&#21010;0908.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dbc409f7-f611-4f58-9de5-0e92c4dac590</errorID>
      <errorWord>美丽系列建设</errorWord>
      <group>L1_Political</group>
      <groupName>政治性问题</groupName>
      <ability>L2_Keyword</ability>
      <abilityName>固定表述</abilityName>
      <candidateList>
        <item>“美丽系列”建设</item>
      </candidateList>
      <explain>注意检查当前固定表述标点是否使用规范。</explain>
      <paraID>13260E0E</paraID>
      <start>0</start>
      <end>6</end>
      <status>unmodified</status>
      <modifiedWord/>
      <trackRevisions>false</trackRevisions>
    </reviewItem>
    <reviewItem>
      <errorID>02ec64bb-9713-4409-8ef0-6437046e8b70</errorID>
      <errorWord>宜居宜业美丽乡村</errorWord>
      <group>L1_Political</group>
      <groupName>政治性问题</groupName>
      <ability>L2_Keyword</ability>
      <abilityName>固定表述</abilityName>
      <candidateList>
        <item>宜居宜业和美乡村</item>
      </candidateList>
      <explain>词汇“宜居宜业和美乡村”在特定场景下为固定表述形式，请确认此处的“宜居宜业美丽乡村”是否存在不当。</explain>
      <paraID>6870D4EB</paraID>
      <start>2</start>
      <end>10</end>
      <status>unmodified</status>
      <modifiedWord/>
      <trackRevisions>false</trackRevisions>
    </reviewItem>
    <reviewItem>
      <errorID>5482b625-1950-49b3-8882-4784eccbf556</errorID>
      <errorWord>横向生态保护补偿制度</errorWord>
      <group>L1_Political</group>
      <groupName>政治性问题</groupName>
      <ability>L2_Unpolitical</ability>
      <abilityName>政治敏感错误</abilityName>
      <candidateList>
        <item>横向生态保护补偿机制</item>
      </candidateList>
      <explain/>
      <paraID> 419244E</paraID>
      <start>95</start>
      <end>105</end>
      <status>unmodified</status>
      <modifiedWord/>
      <trackRevisions>false</trackRevisions>
    </reviewItem>
    <reviewItem>
      <errorID>239851fc-eee6-4437-908c-515f752b691b</errorID>
      <errorWord>城乡结合部</errorWord>
      <group>L1_Knowledge</group>
      <groupName>知识性问题</groupName>
      <ability>L2_Knowledge</ability>
      <abilityName>其他知识</abilityName>
      <candidateList>
        <item>城乡接合部</item>
      </candidateList>
      <explain/>
      <paraID>338DDCB4</paraID>
      <start>132</start>
      <end>137</end>
      <status>unmodified</status>
      <modifiedWord/>
      <trackRevisions>false</trackRevisions>
    </reviewItem>
    <reviewItem>
      <errorID>ea9f7a53-0776-4a1d-b5a8-82196202b5ba</errorID>
      <errorWord>科技创新与产业创新融合</errorWord>
      <group>L1_Political</group>
      <groupName>政治性问题</groupName>
      <ability>L2_Keyword</ability>
      <abilityName>固定表述</abilityName>
      <candidateList>
        <item>科技创新与产业创新深度融合</item>
      </candidateList>
      <explain>词汇“科技创新与产业创新深度融合”在特定场景下为固定表述形式，请确认此处的“科技创新与产业创新融合”是否存在不当。</explain>
      <paraID>7ABA6E79</paraID>
      <start>125</start>
      <end>136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66b534-0fd3-4457-859a-7ba6133d55ca}">
  <ds:schemaRefs/>
</ds:datastoreItem>
</file>

<file path=docProps/app.xml><?xml version="1.0" encoding="utf-8"?>
<Properties xmlns="http://schemas.openxmlformats.org/officeDocument/2006/extended-properties" xmlns:vt="http://schemas.openxmlformats.org/officeDocument/2006/docPropsVTypes">
  <Template>黄石市生态环境“十五五”规划0908.wpt</Template>
  <Pages>14</Pages>
  <Words>1532</Words>
  <Characters>1615</Characters>
  <Lines>0</Lines>
  <Paragraphs>0</Paragraphs>
  <TotalTime>334</TotalTime>
  <ScaleCrop>false</ScaleCrop>
  <LinksUpToDate>false</LinksUpToDate>
  <CharactersWithSpaces>1620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2026-09-08T01:23:00Z</dcterms:created>
  <dc:creator>经纬度</dc:creator>
  <cp:lastModifiedBy>徐磊</cp:lastModifiedBy>
  <dcterms:modified xsi:type="dcterms:W3CDTF">2026-09-10T02:13:23Z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7317A6DEB4AF43709E7B47C9AB4A6194_11</vt:lpwstr>
  </property>
  <property fmtid="{D5CDD505-2E9C-101B-9397-08002B2CF9AE}" pid="4" name="KSOTemplateDocerSaveRecord">
    <vt:lpwstr>eyJoZGlkIjoiZDhkODJkYTBmMWMxNjM2NzRjZTljYjE3NzMyNWE5ZjkiLCJ1c2VySWQiOiIzMTY0ODgxMTEifQ==</vt:lpwstr>
  </property>
</Properties>
</file>