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3EA76">
      <w:pPr>
        <w:bidi w:val="0"/>
        <w:jc w:val="center"/>
        <w:rPr>
          <w:rFonts w:hint="eastAsia"/>
          <w:sz w:val="32"/>
          <w:szCs w:val="40"/>
        </w:rPr>
      </w:pPr>
      <w:r>
        <w:rPr>
          <w:rFonts w:hint="eastAsia"/>
          <w:sz w:val="32"/>
          <w:szCs w:val="40"/>
          <w:lang w:val="en-US" w:eastAsia="zh-CN"/>
        </w:rPr>
        <w:t>2024</w:t>
      </w:r>
      <w:r>
        <w:rPr>
          <w:rFonts w:hint="eastAsia"/>
          <w:sz w:val="32"/>
          <w:szCs w:val="40"/>
        </w:rPr>
        <w:t>年度</w:t>
      </w:r>
      <w:r>
        <w:rPr>
          <w:rFonts w:hint="eastAsia"/>
          <w:sz w:val="32"/>
          <w:szCs w:val="40"/>
          <w:lang w:val="en-US" w:eastAsia="zh-CN"/>
        </w:rPr>
        <w:t>省级生态环境保护以奖代补资金</w:t>
      </w:r>
      <w:r>
        <w:rPr>
          <w:rFonts w:hint="eastAsia"/>
          <w:sz w:val="32"/>
          <w:szCs w:val="40"/>
        </w:rPr>
        <w:t>项目自评表</w:t>
      </w:r>
    </w:p>
    <w:p w14:paraId="16048823">
      <w:pPr>
        <w:bidi w:val="0"/>
        <w:jc w:val="center"/>
        <w:rPr>
          <w:rFonts w:hint="eastAsia"/>
          <w:sz w:val="36"/>
          <w:szCs w:val="44"/>
        </w:rPr>
      </w:pPr>
    </w:p>
    <w:tbl>
      <w:tblPr>
        <w:tblStyle w:val="2"/>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00"/>
        <w:gridCol w:w="1122"/>
        <w:gridCol w:w="1319"/>
        <w:gridCol w:w="923"/>
        <w:gridCol w:w="394"/>
        <w:gridCol w:w="1466"/>
        <w:gridCol w:w="660"/>
        <w:gridCol w:w="659"/>
        <w:gridCol w:w="877"/>
      </w:tblGrid>
      <w:tr w14:paraId="2129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528" w:type="dxa"/>
            <w:gridSpan w:val="2"/>
            <w:vAlign w:val="center"/>
          </w:tcPr>
          <w:p w14:paraId="0EA862EA">
            <w:pPr>
              <w:widowControl/>
              <w:snapToGrid w:val="0"/>
              <w:jc w:val="center"/>
              <w:rPr>
                <w:rFonts w:hint="eastAsia" w:ascii="仿宋" w:hAnsi="仿宋" w:eastAsia="仿宋" w:cs="仿宋"/>
                <w:kern w:val="0"/>
              </w:rPr>
            </w:pPr>
            <w:r>
              <w:rPr>
                <w:rFonts w:hint="eastAsia" w:ascii="仿宋" w:hAnsi="仿宋" w:eastAsia="仿宋" w:cs="仿宋"/>
                <w:kern w:val="0"/>
              </w:rPr>
              <w:t>项目名称</w:t>
            </w:r>
          </w:p>
        </w:tc>
        <w:tc>
          <w:tcPr>
            <w:tcW w:w="7420" w:type="dxa"/>
            <w:gridSpan w:val="8"/>
            <w:vAlign w:val="center"/>
          </w:tcPr>
          <w:p w14:paraId="14AAF91F">
            <w:pPr>
              <w:widowControl/>
              <w:snapToGrid w:val="0"/>
              <w:jc w:val="left"/>
              <w:rPr>
                <w:rFonts w:hint="eastAsia" w:ascii="仿宋" w:hAnsi="仿宋" w:eastAsia="仿宋" w:cs="仿宋"/>
                <w:kern w:val="0"/>
              </w:rPr>
            </w:pPr>
            <w:r>
              <w:rPr>
                <w:rFonts w:hint="eastAsia" w:ascii="仿宋_GB2312" w:hAnsi="仿宋" w:eastAsia="仿宋_GB2312" w:cs="仿宋"/>
                <w:sz w:val="21"/>
                <w:szCs w:val="21"/>
              </w:rPr>
              <w:t>省级生态环境保护以奖代补资金</w:t>
            </w:r>
          </w:p>
        </w:tc>
      </w:tr>
      <w:tr w14:paraId="748F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3AFA486F">
            <w:pPr>
              <w:widowControl/>
              <w:snapToGrid w:val="0"/>
              <w:jc w:val="center"/>
              <w:rPr>
                <w:rFonts w:hint="eastAsia" w:ascii="仿宋" w:hAnsi="仿宋" w:eastAsia="仿宋" w:cs="仿宋"/>
                <w:kern w:val="0"/>
              </w:rPr>
            </w:pPr>
            <w:r>
              <w:rPr>
                <w:rFonts w:hint="eastAsia" w:ascii="仿宋" w:hAnsi="仿宋" w:eastAsia="仿宋" w:cs="仿宋"/>
                <w:kern w:val="0"/>
              </w:rPr>
              <w:t>主管部门</w:t>
            </w:r>
          </w:p>
        </w:tc>
        <w:tc>
          <w:tcPr>
            <w:tcW w:w="3364" w:type="dxa"/>
            <w:gridSpan w:val="3"/>
            <w:vAlign w:val="center"/>
          </w:tcPr>
          <w:p w14:paraId="1AE37CDD">
            <w:pPr>
              <w:widowControl/>
              <w:snapToGrid w:val="0"/>
              <w:jc w:val="left"/>
              <w:rPr>
                <w:rFonts w:hint="eastAsia" w:ascii="仿宋" w:hAnsi="仿宋" w:eastAsia="仿宋" w:cs="仿宋"/>
                <w:kern w:val="0"/>
                <w:lang w:val="en-US" w:eastAsia="zh-CN"/>
              </w:rPr>
            </w:pPr>
            <w:r>
              <w:rPr>
                <w:rFonts w:hint="eastAsia" w:ascii="仿宋" w:hAnsi="仿宋" w:eastAsia="仿宋" w:cs="仿宋"/>
                <w:kern w:val="0"/>
                <w:lang w:val="en-US" w:eastAsia="zh-CN"/>
              </w:rPr>
              <w:t>黄石市生态环境局</w:t>
            </w:r>
          </w:p>
        </w:tc>
        <w:tc>
          <w:tcPr>
            <w:tcW w:w="2520" w:type="dxa"/>
            <w:gridSpan w:val="3"/>
            <w:vAlign w:val="center"/>
          </w:tcPr>
          <w:p w14:paraId="2BD68D53">
            <w:pPr>
              <w:widowControl/>
              <w:snapToGrid w:val="0"/>
              <w:jc w:val="center"/>
              <w:rPr>
                <w:rFonts w:hint="eastAsia" w:ascii="仿宋" w:hAnsi="仿宋" w:eastAsia="仿宋" w:cs="仿宋"/>
                <w:kern w:val="0"/>
              </w:rPr>
            </w:pPr>
            <w:r>
              <w:rPr>
                <w:rFonts w:hint="eastAsia" w:ascii="仿宋" w:hAnsi="仿宋" w:eastAsia="仿宋" w:cs="仿宋"/>
                <w:kern w:val="0"/>
              </w:rPr>
              <w:t>项目实施单位</w:t>
            </w:r>
          </w:p>
        </w:tc>
        <w:tc>
          <w:tcPr>
            <w:tcW w:w="1536" w:type="dxa"/>
            <w:gridSpan w:val="2"/>
            <w:vAlign w:val="center"/>
          </w:tcPr>
          <w:p w14:paraId="18AB691B">
            <w:pPr>
              <w:widowControl/>
              <w:snapToGrid w:val="0"/>
              <w:jc w:val="center"/>
              <w:rPr>
                <w:rFonts w:hint="eastAsia" w:ascii="仿宋" w:hAnsi="仿宋" w:eastAsia="仿宋" w:cs="仿宋"/>
                <w:kern w:val="0"/>
              </w:rPr>
            </w:pPr>
            <w:r>
              <w:rPr>
                <w:rFonts w:hint="eastAsia" w:ascii="仿宋" w:hAnsi="仿宋" w:eastAsia="仿宋" w:cs="仿宋"/>
                <w:kern w:val="0"/>
                <w:lang w:val="en-US" w:eastAsia="zh-CN"/>
              </w:rPr>
              <w:t>黄石市机动车排污监控管理中心</w:t>
            </w:r>
            <w:r>
              <w:rPr>
                <w:rFonts w:hint="eastAsia" w:ascii="仿宋" w:hAnsi="仿宋" w:eastAsia="仿宋" w:cs="仿宋"/>
                <w:kern w:val="0"/>
              </w:rPr>
              <w:t>　</w:t>
            </w:r>
          </w:p>
        </w:tc>
      </w:tr>
      <w:tr w14:paraId="7139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003DB87A">
            <w:pPr>
              <w:widowControl/>
              <w:snapToGrid w:val="0"/>
              <w:jc w:val="center"/>
              <w:rPr>
                <w:rFonts w:hint="eastAsia" w:ascii="仿宋" w:hAnsi="仿宋" w:eastAsia="仿宋" w:cs="仿宋"/>
                <w:kern w:val="0"/>
              </w:rPr>
            </w:pPr>
            <w:r>
              <w:rPr>
                <w:rFonts w:hint="eastAsia" w:ascii="仿宋" w:hAnsi="仿宋" w:eastAsia="仿宋" w:cs="仿宋"/>
                <w:kern w:val="0"/>
              </w:rPr>
              <w:t>项目类别</w:t>
            </w:r>
          </w:p>
        </w:tc>
        <w:tc>
          <w:tcPr>
            <w:tcW w:w="7420" w:type="dxa"/>
            <w:gridSpan w:val="8"/>
            <w:vAlign w:val="center"/>
          </w:tcPr>
          <w:p w14:paraId="3E6822CA">
            <w:pPr>
              <w:widowControl/>
              <w:snapToGrid w:val="0"/>
              <w:jc w:val="left"/>
              <w:rPr>
                <w:rFonts w:hint="eastAsia" w:ascii="仿宋" w:hAnsi="仿宋" w:eastAsia="仿宋" w:cs="仿宋"/>
                <w:kern w:val="0"/>
              </w:rPr>
            </w:pPr>
            <w:r>
              <w:rPr>
                <w:rFonts w:hint="eastAsia" w:ascii="仿宋" w:hAnsi="仿宋" w:eastAsia="仿宋" w:cs="仿宋"/>
                <w:kern w:val="0"/>
              </w:rPr>
              <w:t xml:space="preserve">1、部门预算项目   </w:t>
            </w:r>
            <w:r>
              <w:rPr>
                <w:rFonts w:hint="eastAsia" w:ascii="仿宋" w:hAnsi="仿宋" w:eastAsia="仿宋" w:cs="仿宋"/>
                <w:kern w:val="0"/>
                <w:lang w:eastAsia="zh-CN"/>
              </w:rPr>
              <w:t>☑</w:t>
            </w:r>
            <w:r>
              <w:rPr>
                <w:rFonts w:hint="eastAsia" w:ascii="仿宋" w:hAnsi="仿宋" w:eastAsia="仿宋" w:cs="仿宋"/>
                <w:kern w:val="0"/>
              </w:rPr>
              <w:t xml:space="preserve">   2、市直专项   □ </w:t>
            </w:r>
          </w:p>
        </w:tc>
      </w:tr>
      <w:tr w14:paraId="3E15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2196C4CF">
            <w:pPr>
              <w:widowControl/>
              <w:snapToGrid w:val="0"/>
              <w:jc w:val="center"/>
              <w:rPr>
                <w:rFonts w:hint="eastAsia" w:ascii="仿宋" w:hAnsi="仿宋" w:eastAsia="仿宋" w:cs="仿宋"/>
                <w:kern w:val="0"/>
              </w:rPr>
            </w:pPr>
            <w:r>
              <w:rPr>
                <w:rFonts w:hint="eastAsia" w:ascii="仿宋" w:hAnsi="仿宋" w:eastAsia="仿宋" w:cs="仿宋"/>
                <w:kern w:val="0"/>
              </w:rPr>
              <w:t>项目属性</w:t>
            </w:r>
          </w:p>
        </w:tc>
        <w:tc>
          <w:tcPr>
            <w:tcW w:w="7420" w:type="dxa"/>
            <w:gridSpan w:val="8"/>
            <w:vAlign w:val="center"/>
          </w:tcPr>
          <w:p w14:paraId="4E422D07">
            <w:pPr>
              <w:widowControl/>
              <w:snapToGrid w:val="0"/>
              <w:jc w:val="left"/>
              <w:rPr>
                <w:rFonts w:hint="eastAsia" w:ascii="仿宋" w:hAnsi="仿宋" w:eastAsia="仿宋" w:cs="仿宋"/>
                <w:kern w:val="0"/>
              </w:rPr>
            </w:pPr>
            <w:r>
              <w:rPr>
                <w:rFonts w:hint="eastAsia" w:ascii="仿宋" w:hAnsi="仿宋" w:eastAsia="仿宋" w:cs="仿宋"/>
                <w:kern w:val="0"/>
              </w:rPr>
              <w:t xml:space="preserve">1、持续性项目     </w:t>
            </w:r>
            <w:r>
              <w:rPr>
                <w:rFonts w:hint="eastAsia" w:ascii="仿宋" w:hAnsi="仿宋" w:eastAsia="仿宋" w:cs="仿宋"/>
                <w:kern w:val="0"/>
                <w:lang w:eastAsia="zh-CN"/>
              </w:rPr>
              <w:t>☑</w:t>
            </w:r>
            <w:r>
              <w:rPr>
                <w:rFonts w:hint="eastAsia" w:ascii="仿宋" w:hAnsi="仿宋" w:eastAsia="仿宋" w:cs="仿宋"/>
                <w:kern w:val="0"/>
              </w:rPr>
              <w:t xml:space="preserve">   2、新增性项目 □ </w:t>
            </w:r>
          </w:p>
        </w:tc>
      </w:tr>
      <w:tr w14:paraId="1153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Align w:val="center"/>
          </w:tcPr>
          <w:p w14:paraId="7FF53707">
            <w:pPr>
              <w:widowControl/>
              <w:snapToGrid w:val="0"/>
              <w:jc w:val="center"/>
              <w:rPr>
                <w:rFonts w:hint="eastAsia" w:ascii="仿宋" w:hAnsi="仿宋" w:eastAsia="仿宋" w:cs="仿宋"/>
                <w:kern w:val="0"/>
              </w:rPr>
            </w:pPr>
            <w:r>
              <w:rPr>
                <w:rFonts w:hint="eastAsia" w:ascii="仿宋" w:hAnsi="仿宋" w:eastAsia="仿宋" w:cs="仿宋"/>
                <w:kern w:val="0"/>
              </w:rPr>
              <w:t>项目类型</w:t>
            </w:r>
          </w:p>
        </w:tc>
        <w:tc>
          <w:tcPr>
            <w:tcW w:w="7420" w:type="dxa"/>
            <w:gridSpan w:val="8"/>
            <w:vAlign w:val="center"/>
          </w:tcPr>
          <w:p w14:paraId="5415A1CD">
            <w:pPr>
              <w:widowControl/>
              <w:snapToGrid w:val="0"/>
              <w:jc w:val="left"/>
              <w:rPr>
                <w:rFonts w:hint="eastAsia" w:ascii="仿宋" w:hAnsi="仿宋" w:eastAsia="仿宋" w:cs="仿宋"/>
                <w:kern w:val="0"/>
              </w:rPr>
            </w:pPr>
            <w:r>
              <w:rPr>
                <w:rFonts w:hint="eastAsia" w:ascii="仿宋" w:hAnsi="仿宋" w:eastAsia="仿宋" w:cs="仿宋"/>
                <w:kern w:val="0"/>
              </w:rPr>
              <w:t xml:space="preserve">1、常年性项目     </w:t>
            </w:r>
            <w:r>
              <w:rPr>
                <w:rFonts w:hint="eastAsia" w:ascii="仿宋" w:hAnsi="仿宋" w:eastAsia="仿宋" w:cs="仿宋"/>
                <w:kern w:val="0"/>
                <w:lang w:eastAsia="zh-CN"/>
              </w:rPr>
              <w:t>☑</w:t>
            </w:r>
            <w:r>
              <w:rPr>
                <w:rFonts w:hint="eastAsia" w:ascii="仿宋" w:hAnsi="仿宋" w:eastAsia="仿宋" w:cs="仿宋"/>
                <w:kern w:val="0"/>
              </w:rPr>
              <w:t xml:space="preserve">   2、延续性项目 □      3、一次性项目 □</w:t>
            </w:r>
          </w:p>
        </w:tc>
      </w:tr>
      <w:tr w14:paraId="3597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restart"/>
            <w:vAlign w:val="center"/>
          </w:tcPr>
          <w:p w14:paraId="13AA7F08">
            <w:pPr>
              <w:widowControl/>
              <w:snapToGrid w:val="0"/>
              <w:jc w:val="center"/>
              <w:rPr>
                <w:rFonts w:hint="eastAsia" w:ascii="仿宋" w:hAnsi="仿宋" w:eastAsia="仿宋" w:cs="仿宋"/>
                <w:kern w:val="0"/>
              </w:rPr>
            </w:pPr>
            <w:r>
              <w:rPr>
                <w:rFonts w:hint="eastAsia" w:ascii="仿宋" w:hAnsi="仿宋" w:eastAsia="仿宋" w:cs="仿宋"/>
                <w:kern w:val="0"/>
              </w:rPr>
              <w:t>预算执行情况（万元）</w:t>
            </w:r>
          </w:p>
          <w:p w14:paraId="1CDA0DB3">
            <w:pPr>
              <w:widowControl/>
              <w:snapToGrid w:val="0"/>
              <w:jc w:val="center"/>
              <w:rPr>
                <w:rFonts w:hint="eastAsia" w:ascii="仿宋" w:hAnsi="仿宋" w:eastAsia="仿宋" w:cs="仿宋"/>
                <w:kern w:val="0"/>
              </w:rPr>
            </w:pPr>
            <w:r>
              <w:rPr>
                <w:rFonts w:hint="eastAsia" w:ascii="仿宋" w:hAnsi="仿宋" w:eastAsia="仿宋" w:cs="仿宋"/>
                <w:kern w:val="0"/>
              </w:rPr>
              <w:t>（20分）</w:t>
            </w:r>
          </w:p>
        </w:tc>
        <w:tc>
          <w:tcPr>
            <w:tcW w:w="1122" w:type="dxa"/>
            <w:vAlign w:val="center"/>
          </w:tcPr>
          <w:p w14:paraId="28C77EFE">
            <w:pPr>
              <w:widowControl/>
              <w:snapToGrid w:val="0"/>
              <w:jc w:val="center"/>
              <w:rPr>
                <w:rFonts w:hint="eastAsia" w:ascii="仿宋" w:hAnsi="仿宋" w:eastAsia="仿宋" w:cs="仿宋"/>
                <w:kern w:val="0"/>
              </w:rPr>
            </w:pPr>
          </w:p>
        </w:tc>
        <w:tc>
          <w:tcPr>
            <w:tcW w:w="1319" w:type="dxa"/>
            <w:vAlign w:val="center"/>
          </w:tcPr>
          <w:p w14:paraId="0A891136">
            <w:pPr>
              <w:widowControl/>
              <w:snapToGrid w:val="0"/>
              <w:jc w:val="center"/>
              <w:rPr>
                <w:rFonts w:hint="eastAsia" w:ascii="仿宋" w:hAnsi="仿宋" w:eastAsia="仿宋" w:cs="仿宋"/>
                <w:kern w:val="0"/>
              </w:rPr>
            </w:pPr>
            <w:r>
              <w:rPr>
                <w:rFonts w:hint="eastAsia" w:ascii="仿宋" w:hAnsi="仿宋" w:eastAsia="仿宋" w:cs="仿宋"/>
                <w:kern w:val="0"/>
              </w:rPr>
              <w:t>预算数（A）</w:t>
            </w:r>
          </w:p>
        </w:tc>
        <w:tc>
          <w:tcPr>
            <w:tcW w:w="1317" w:type="dxa"/>
            <w:gridSpan w:val="2"/>
            <w:vAlign w:val="center"/>
          </w:tcPr>
          <w:p w14:paraId="4668EA67">
            <w:pPr>
              <w:widowControl/>
              <w:snapToGrid w:val="0"/>
              <w:jc w:val="center"/>
              <w:rPr>
                <w:rFonts w:hint="eastAsia" w:ascii="仿宋" w:hAnsi="仿宋" w:eastAsia="仿宋" w:cs="仿宋"/>
                <w:kern w:val="0"/>
              </w:rPr>
            </w:pPr>
            <w:r>
              <w:rPr>
                <w:rFonts w:hint="eastAsia" w:ascii="仿宋" w:hAnsi="仿宋" w:eastAsia="仿宋" w:cs="仿宋"/>
                <w:kern w:val="0"/>
              </w:rPr>
              <w:t>执行数（B）</w:t>
            </w:r>
          </w:p>
        </w:tc>
        <w:tc>
          <w:tcPr>
            <w:tcW w:w="1466" w:type="dxa"/>
            <w:vAlign w:val="center"/>
          </w:tcPr>
          <w:p w14:paraId="11DBC8E0">
            <w:pPr>
              <w:widowControl/>
              <w:snapToGrid w:val="0"/>
              <w:jc w:val="center"/>
              <w:rPr>
                <w:rFonts w:hint="eastAsia" w:ascii="仿宋" w:hAnsi="仿宋" w:eastAsia="仿宋" w:cs="仿宋"/>
                <w:kern w:val="0"/>
              </w:rPr>
            </w:pPr>
            <w:r>
              <w:rPr>
                <w:rFonts w:hint="eastAsia" w:ascii="仿宋" w:hAnsi="仿宋" w:eastAsia="仿宋" w:cs="仿宋"/>
                <w:kern w:val="0"/>
              </w:rPr>
              <w:t>执行率（B/A）</w:t>
            </w:r>
          </w:p>
        </w:tc>
        <w:tc>
          <w:tcPr>
            <w:tcW w:w="2196" w:type="dxa"/>
            <w:gridSpan w:val="3"/>
            <w:vAlign w:val="center"/>
          </w:tcPr>
          <w:p w14:paraId="63B671B1">
            <w:pPr>
              <w:widowControl/>
              <w:snapToGrid w:val="0"/>
              <w:jc w:val="center"/>
              <w:rPr>
                <w:rFonts w:hint="eastAsia" w:ascii="仿宋" w:hAnsi="仿宋" w:eastAsia="仿宋" w:cs="仿宋"/>
                <w:kern w:val="0"/>
              </w:rPr>
            </w:pPr>
            <w:r>
              <w:rPr>
                <w:rFonts w:hint="eastAsia" w:ascii="仿宋" w:hAnsi="仿宋" w:eastAsia="仿宋" w:cs="仿宋"/>
                <w:kern w:val="0"/>
              </w:rPr>
              <w:t>得分</w:t>
            </w:r>
          </w:p>
          <w:p w14:paraId="4AA0F12F">
            <w:pPr>
              <w:widowControl/>
              <w:snapToGrid w:val="0"/>
              <w:jc w:val="center"/>
              <w:rPr>
                <w:rFonts w:hint="eastAsia" w:ascii="仿宋" w:hAnsi="仿宋" w:eastAsia="仿宋" w:cs="仿宋"/>
                <w:kern w:val="0"/>
              </w:rPr>
            </w:pPr>
            <w:r>
              <w:rPr>
                <w:rFonts w:hint="eastAsia" w:ascii="仿宋" w:hAnsi="仿宋" w:eastAsia="仿宋" w:cs="仿宋"/>
                <w:kern w:val="0"/>
              </w:rPr>
              <w:t>（20分*执行率）</w:t>
            </w:r>
          </w:p>
        </w:tc>
      </w:tr>
      <w:tr w14:paraId="12FF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8" w:type="dxa"/>
            <w:gridSpan w:val="2"/>
            <w:vMerge w:val="continue"/>
            <w:vAlign w:val="center"/>
          </w:tcPr>
          <w:p w14:paraId="1E7E5E73">
            <w:pPr>
              <w:widowControl/>
              <w:snapToGrid w:val="0"/>
              <w:jc w:val="center"/>
              <w:rPr>
                <w:rFonts w:hint="eastAsia" w:ascii="仿宋" w:hAnsi="仿宋" w:eastAsia="仿宋" w:cs="仿宋"/>
                <w:kern w:val="0"/>
              </w:rPr>
            </w:pPr>
          </w:p>
        </w:tc>
        <w:tc>
          <w:tcPr>
            <w:tcW w:w="1122" w:type="dxa"/>
            <w:vAlign w:val="center"/>
          </w:tcPr>
          <w:p w14:paraId="14C99AF9">
            <w:pPr>
              <w:widowControl/>
              <w:snapToGrid w:val="0"/>
              <w:jc w:val="center"/>
              <w:rPr>
                <w:rFonts w:hint="eastAsia" w:ascii="仿宋" w:hAnsi="仿宋" w:eastAsia="仿宋" w:cs="仿宋"/>
                <w:kern w:val="0"/>
              </w:rPr>
            </w:pPr>
            <w:r>
              <w:rPr>
                <w:rFonts w:hint="eastAsia" w:ascii="仿宋" w:hAnsi="仿宋" w:eastAsia="仿宋" w:cs="仿宋"/>
                <w:kern w:val="0"/>
              </w:rPr>
              <w:t>年度财政资金总额</w:t>
            </w:r>
          </w:p>
        </w:tc>
        <w:tc>
          <w:tcPr>
            <w:tcW w:w="1319" w:type="dxa"/>
            <w:vAlign w:val="center"/>
          </w:tcPr>
          <w:p w14:paraId="25EFC8E2">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24.76</w:t>
            </w:r>
          </w:p>
        </w:tc>
        <w:tc>
          <w:tcPr>
            <w:tcW w:w="1317" w:type="dxa"/>
            <w:gridSpan w:val="2"/>
            <w:vAlign w:val="center"/>
          </w:tcPr>
          <w:p w14:paraId="199A2566">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24.76</w:t>
            </w:r>
          </w:p>
        </w:tc>
        <w:tc>
          <w:tcPr>
            <w:tcW w:w="1466" w:type="dxa"/>
            <w:vAlign w:val="center"/>
          </w:tcPr>
          <w:p w14:paraId="01782B96">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100%</w:t>
            </w:r>
          </w:p>
        </w:tc>
        <w:tc>
          <w:tcPr>
            <w:tcW w:w="2196" w:type="dxa"/>
            <w:gridSpan w:val="3"/>
            <w:vAlign w:val="center"/>
          </w:tcPr>
          <w:p w14:paraId="1FB00903">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20</w:t>
            </w:r>
          </w:p>
        </w:tc>
      </w:tr>
      <w:tr w14:paraId="42C3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14:paraId="1E39354E">
            <w:pPr>
              <w:widowControl/>
              <w:snapToGrid w:val="0"/>
              <w:jc w:val="center"/>
              <w:rPr>
                <w:rFonts w:hint="eastAsia" w:ascii="仿宋" w:hAnsi="仿宋" w:eastAsia="仿宋" w:cs="仿宋"/>
                <w:kern w:val="0"/>
              </w:rPr>
            </w:pPr>
            <w:r>
              <w:rPr>
                <w:rFonts w:hint="eastAsia" w:ascii="仿宋" w:hAnsi="仿宋" w:eastAsia="仿宋" w:cs="仿宋"/>
                <w:kern w:val="0"/>
              </w:rPr>
              <w:t>年度绩效目标</w:t>
            </w:r>
          </w:p>
          <w:p w14:paraId="3148D5E6">
            <w:pPr>
              <w:widowControl/>
              <w:snapToGrid w:val="0"/>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80</w:t>
            </w:r>
            <w:r>
              <w:rPr>
                <w:rFonts w:hint="eastAsia" w:ascii="仿宋" w:hAnsi="仿宋" w:eastAsia="仿宋" w:cs="仿宋"/>
                <w:kern w:val="0"/>
              </w:rPr>
              <w:t>分）</w:t>
            </w:r>
          </w:p>
        </w:tc>
        <w:tc>
          <w:tcPr>
            <w:tcW w:w="700" w:type="dxa"/>
            <w:vAlign w:val="center"/>
          </w:tcPr>
          <w:p w14:paraId="550BA7D9">
            <w:pPr>
              <w:snapToGrid w:val="0"/>
              <w:jc w:val="center"/>
              <w:rPr>
                <w:rFonts w:hint="eastAsia" w:ascii="仿宋" w:hAnsi="仿宋" w:eastAsia="仿宋" w:cs="仿宋"/>
                <w:kern w:val="0"/>
              </w:rPr>
            </w:pPr>
            <w:r>
              <w:rPr>
                <w:rFonts w:hint="eastAsia" w:ascii="仿宋" w:hAnsi="仿宋" w:eastAsia="仿宋" w:cs="仿宋"/>
                <w:kern w:val="0"/>
              </w:rPr>
              <w:t>一级指标</w:t>
            </w:r>
          </w:p>
        </w:tc>
        <w:tc>
          <w:tcPr>
            <w:tcW w:w="1122" w:type="dxa"/>
            <w:vAlign w:val="center"/>
          </w:tcPr>
          <w:p w14:paraId="5B29456B">
            <w:pPr>
              <w:widowControl/>
              <w:snapToGrid w:val="0"/>
              <w:jc w:val="center"/>
              <w:rPr>
                <w:rFonts w:hint="eastAsia" w:ascii="仿宋" w:hAnsi="仿宋" w:eastAsia="仿宋" w:cs="仿宋"/>
                <w:kern w:val="0"/>
              </w:rPr>
            </w:pPr>
            <w:r>
              <w:rPr>
                <w:rFonts w:hint="eastAsia" w:ascii="仿宋" w:hAnsi="仿宋" w:eastAsia="仿宋" w:cs="仿宋"/>
                <w:kern w:val="0"/>
              </w:rPr>
              <w:t>二级指标</w:t>
            </w:r>
          </w:p>
        </w:tc>
        <w:tc>
          <w:tcPr>
            <w:tcW w:w="2636" w:type="dxa"/>
            <w:gridSpan w:val="3"/>
            <w:vAlign w:val="center"/>
          </w:tcPr>
          <w:p w14:paraId="63372B92">
            <w:pPr>
              <w:widowControl/>
              <w:snapToGrid w:val="0"/>
              <w:jc w:val="center"/>
              <w:rPr>
                <w:rFonts w:hint="eastAsia" w:ascii="仿宋" w:hAnsi="仿宋" w:eastAsia="仿宋" w:cs="仿宋"/>
                <w:kern w:val="0"/>
              </w:rPr>
            </w:pPr>
            <w:r>
              <w:rPr>
                <w:rFonts w:hint="eastAsia" w:ascii="仿宋" w:hAnsi="仿宋" w:eastAsia="仿宋" w:cs="仿宋"/>
                <w:kern w:val="0"/>
              </w:rPr>
              <w:t>三级指标</w:t>
            </w:r>
          </w:p>
        </w:tc>
        <w:tc>
          <w:tcPr>
            <w:tcW w:w="1466" w:type="dxa"/>
            <w:vAlign w:val="center"/>
          </w:tcPr>
          <w:p w14:paraId="7BA2DBA6">
            <w:pPr>
              <w:widowControl/>
              <w:snapToGrid w:val="0"/>
              <w:jc w:val="center"/>
              <w:rPr>
                <w:rFonts w:hint="eastAsia" w:ascii="仿宋" w:hAnsi="仿宋" w:eastAsia="仿宋" w:cs="仿宋"/>
                <w:kern w:val="0"/>
              </w:rPr>
            </w:pPr>
            <w:r>
              <w:rPr>
                <w:rFonts w:hint="eastAsia" w:ascii="仿宋" w:hAnsi="仿宋" w:eastAsia="仿宋" w:cs="仿宋"/>
                <w:kern w:val="0"/>
              </w:rPr>
              <w:t>年初目标值（A）</w:t>
            </w:r>
          </w:p>
        </w:tc>
        <w:tc>
          <w:tcPr>
            <w:tcW w:w="1319" w:type="dxa"/>
            <w:gridSpan w:val="2"/>
            <w:vAlign w:val="center"/>
          </w:tcPr>
          <w:p w14:paraId="748C5320">
            <w:pPr>
              <w:widowControl/>
              <w:snapToGrid w:val="0"/>
              <w:jc w:val="center"/>
              <w:rPr>
                <w:rFonts w:hint="eastAsia" w:ascii="仿宋" w:hAnsi="仿宋" w:eastAsia="仿宋" w:cs="仿宋"/>
                <w:kern w:val="0"/>
              </w:rPr>
            </w:pPr>
            <w:r>
              <w:rPr>
                <w:rFonts w:hint="eastAsia" w:ascii="仿宋" w:hAnsi="仿宋" w:eastAsia="仿宋" w:cs="仿宋"/>
                <w:kern w:val="0"/>
              </w:rPr>
              <w:t>实际完成值（B）</w:t>
            </w:r>
          </w:p>
        </w:tc>
        <w:tc>
          <w:tcPr>
            <w:tcW w:w="877" w:type="dxa"/>
            <w:vAlign w:val="center"/>
          </w:tcPr>
          <w:p w14:paraId="75CF191F">
            <w:pPr>
              <w:widowControl/>
              <w:snapToGrid w:val="0"/>
              <w:jc w:val="center"/>
              <w:rPr>
                <w:rFonts w:hint="eastAsia" w:ascii="仿宋" w:hAnsi="仿宋" w:eastAsia="仿宋" w:cs="仿宋"/>
                <w:kern w:val="0"/>
              </w:rPr>
            </w:pPr>
            <w:r>
              <w:rPr>
                <w:rFonts w:hint="eastAsia" w:ascii="仿宋" w:hAnsi="仿宋" w:eastAsia="仿宋" w:cs="仿宋"/>
                <w:kern w:val="0"/>
              </w:rPr>
              <w:t>得分</w:t>
            </w:r>
          </w:p>
        </w:tc>
      </w:tr>
      <w:tr w14:paraId="3F227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44C73C7">
            <w:pPr>
              <w:snapToGrid w:val="0"/>
              <w:jc w:val="center"/>
              <w:rPr>
                <w:rFonts w:hint="eastAsia" w:ascii="仿宋" w:hAnsi="仿宋" w:eastAsia="仿宋" w:cs="仿宋"/>
                <w:kern w:val="0"/>
              </w:rPr>
            </w:pPr>
          </w:p>
        </w:tc>
        <w:tc>
          <w:tcPr>
            <w:tcW w:w="700" w:type="dxa"/>
            <w:vMerge w:val="restart"/>
            <w:vAlign w:val="center"/>
          </w:tcPr>
          <w:p w14:paraId="4E23F2A7">
            <w:pPr>
              <w:snapToGrid w:val="0"/>
              <w:jc w:val="center"/>
              <w:rPr>
                <w:rFonts w:hint="eastAsia" w:ascii="仿宋" w:hAnsi="仿宋" w:eastAsia="仿宋" w:cs="仿宋"/>
                <w:kern w:val="0"/>
              </w:rPr>
            </w:pPr>
            <w:r>
              <w:rPr>
                <w:rFonts w:hint="eastAsia" w:ascii="仿宋" w:hAnsi="仿宋" w:eastAsia="仿宋" w:cs="仿宋"/>
                <w:kern w:val="0"/>
              </w:rPr>
              <w:t>产出指标</w:t>
            </w:r>
          </w:p>
        </w:tc>
        <w:tc>
          <w:tcPr>
            <w:tcW w:w="1122" w:type="dxa"/>
            <w:vMerge w:val="restart"/>
            <w:vAlign w:val="center"/>
          </w:tcPr>
          <w:p w14:paraId="50B0920B">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数量指标</w:t>
            </w:r>
          </w:p>
        </w:tc>
        <w:tc>
          <w:tcPr>
            <w:tcW w:w="2636" w:type="dxa"/>
            <w:gridSpan w:val="3"/>
            <w:vAlign w:val="center"/>
          </w:tcPr>
          <w:p w14:paraId="2FA1DFE3">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移动检测次数不低于每月2次</w:t>
            </w:r>
          </w:p>
        </w:tc>
        <w:tc>
          <w:tcPr>
            <w:tcW w:w="1466" w:type="dxa"/>
            <w:vAlign w:val="center"/>
          </w:tcPr>
          <w:p w14:paraId="0FE851C7">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≥2</w:t>
            </w:r>
          </w:p>
        </w:tc>
        <w:tc>
          <w:tcPr>
            <w:tcW w:w="1319" w:type="dxa"/>
            <w:gridSpan w:val="2"/>
            <w:vAlign w:val="center"/>
          </w:tcPr>
          <w:p w14:paraId="63039B5C">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完成</w:t>
            </w:r>
          </w:p>
        </w:tc>
        <w:tc>
          <w:tcPr>
            <w:tcW w:w="877" w:type="dxa"/>
            <w:vAlign w:val="center"/>
          </w:tcPr>
          <w:p w14:paraId="2280E9DD">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10</w:t>
            </w:r>
          </w:p>
        </w:tc>
      </w:tr>
      <w:tr w14:paraId="005E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7BB5B3E2">
            <w:pPr>
              <w:snapToGrid w:val="0"/>
              <w:jc w:val="center"/>
              <w:rPr>
                <w:rFonts w:hint="eastAsia" w:ascii="仿宋" w:hAnsi="仿宋" w:eastAsia="仿宋" w:cs="仿宋"/>
                <w:kern w:val="0"/>
              </w:rPr>
            </w:pPr>
          </w:p>
        </w:tc>
        <w:tc>
          <w:tcPr>
            <w:tcW w:w="700" w:type="dxa"/>
            <w:vMerge w:val="continue"/>
            <w:vAlign w:val="center"/>
          </w:tcPr>
          <w:p w14:paraId="6D2EC35F">
            <w:pPr>
              <w:widowControl/>
              <w:snapToGrid w:val="0"/>
              <w:jc w:val="center"/>
              <w:rPr>
                <w:rFonts w:hint="eastAsia" w:ascii="仿宋" w:hAnsi="仿宋" w:eastAsia="仿宋" w:cs="仿宋"/>
                <w:kern w:val="0"/>
              </w:rPr>
            </w:pPr>
          </w:p>
        </w:tc>
        <w:tc>
          <w:tcPr>
            <w:tcW w:w="1122" w:type="dxa"/>
            <w:vMerge w:val="continue"/>
            <w:vAlign w:val="center"/>
          </w:tcPr>
          <w:p w14:paraId="50D97188">
            <w:pPr>
              <w:widowControl/>
              <w:snapToGrid w:val="0"/>
              <w:jc w:val="center"/>
              <w:rPr>
                <w:rFonts w:hint="eastAsia" w:ascii="仿宋" w:hAnsi="仿宋" w:eastAsia="仿宋" w:cs="仿宋"/>
                <w:kern w:val="0"/>
              </w:rPr>
            </w:pPr>
          </w:p>
        </w:tc>
        <w:tc>
          <w:tcPr>
            <w:tcW w:w="2636" w:type="dxa"/>
            <w:gridSpan w:val="3"/>
            <w:vAlign w:val="center"/>
          </w:tcPr>
          <w:p w14:paraId="1A9C26D5">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szCs w:val="21"/>
              </w:rPr>
              <w:t>固定监测24小时运行</w:t>
            </w:r>
          </w:p>
        </w:tc>
        <w:tc>
          <w:tcPr>
            <w:tcW w:w="1466" w:type="dxa"/>
            <w:vAlign w:val="center"/>
          </w:tcPr>
          <w:p w14:paraId="1EBF162B">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24小时</w:t>
            </w:r>
          </w:p>
        </w:tc>
        <w:tc>
          <w:tcPr>
            <w:tcW w:w="1319" w:type="dxa"/>
            <w:gridSpan w:val="2"/>
            <w:vAlign w:val="center"/>
          </w:tcPr>
          <w:p w14:paraId="65EEC71F">
            <w:pPr>
              <w:widowControl/>
              <w:snapToGrid w:val="0"/>
              <w:jc w:val="center"/>
              <w:rPr>
                <w:rFonts w:hint="eastAsia" w:ascii="仿宋" w:hAnsi="仿宋" w:eastAsia="仿宋" w:cs="仿宋"/>
                <w:kern w:val="0"/>
                <w:lang w:val="en-US" w:eastAsia="zh-CN"/>
              </w:rPr>
            </w:pPr>
            <w:r>
              <w:rPr>
                <w:rFonts w:hint="eastAsia" w:ascii="仿宋" w:hAnsi="仿宋" w:eastAsia="仿宋" w:cs="仿宋"/>
                <w:kern w:val="0"/>
                <w:lang w:val="en-US" w:eastAsia="zh-CN"/>
              </w:rPr>
              <w:t>基本完成</w:t>
            </w:r>
          </w:p>
        </w:tc>
        <w:tc>
          <w:tcPr>
            <w:tcW w:w="877" w:type="dxa"/>
            <w:vAlign w:val="center"/>
          </w:tcPr>
          <w:p w14:paraId="1BF8425C">
            <w:pPr>
              <w:widowControl/>
              <w:snapToGrid w:val="0"/>
              <w:jc w:val="center"/>
              <w:rPr>
                <w:rFonts w:hint="eastAsia" w:ascii="仿宋" w:hAnsi="仿宋" w:eastAsia="仿宋" w:cs="仿宋"/>
                <w:kern w:val="0"/>
                <w:lang w:val="en-US" w:eastAsia="zh-CN"/>
              </w:rPr>
            </w:pPr>
            <w:r>
              <w:rPr>
                <w:rFonts w:hint="eastAsia" w:ascii="仿宋" w:hAnsi="仿宋" w:eastAsia="仿宋" w:cs="仿宋"/>
                <w:kern w:val="0"/>
                <w:lang w:val="en-US" w:eastAsia="zh-CN"/>
              </w:rPr>
              <w:t>9</w:t>
            </w:r>
          </w:p>
        </w:tc>
      </w:tr>
      <w:tr w14:paraId="6B61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4BCFEE01">
            <w:pPr>
              <w:snapToGrid w:val="0"/>
              <w:jc w:val="center"/>
              <w:rPr>
                <w:rFonts w:hint="eastAsia" w:ascii="仿宋" w:hAnsi="仿宋" w:eastAsia="仿宋" w:cs="仿宋"/>
                <w:kern w:val="0"/>
              </w:rPr>
            </w:pPr>
          </w:p>
        </w:tc>
        <w:tc>
          <w:tcPr>
            <w:tcW w:w="700" w:type="dxa"/>
            <w:vMerge w:val="continue"/>
            <w:vAlign w:val="center"/>
          </w:tcPr>
          <w:p w14:paraId="4DA18CD3">
            <w:pPr>
              <w:widowControl/>
              <w:snapToGrid w:val="0"/>
              <w:jc w:val="center"/>
              <w:rPr>
                <w:rFonts w:hint="eastAsia" w:ascii="仿宋" w:hAnsi="仿宋" w:eastAsia="仿宋" w:cs="仿宋"/>
                <w:kern w:val="0"/>
              </w:rPr>
            </w:pPr>
          </w:p>
        </w:tc>
        <w:tc>
          <w:tcPr>
            <w:tcW w:w="1122" w:type="dxa"/>
            <w:vAlign w:val="center"/>
          </w:tcPr>
          <w:p w14:paraId="15D2F326">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质量指标</w:t>
            </w:r>
          </w:p>
        </w:tc>
        <w:tc>
          <w:tcPr>
            <w:tcW w:w="2636" w:type="dxa"/>
            <w:gridSpan w:val="3"/>
            <w:vAlign w:val="center"/>
          </w:tcPr>
          <w:p w14:paraId="08D4ADBA">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符合HJ845-2017在用柴油车排气污染测量方法及技术要求</w:t>
            </w:r>
          </w:p>
        </w:tc>
        <w:tc>
          <w:tcPr>
            <w:tcW w:w="1466" w:type="dxa"/>
            <w:vAlign w:val="center"/>
          </w:tcPr>
          <w:p w14:paraId="6671F8B6">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符合国家标准</w:t>
            </w:r>
          </w:p>
        </w:tc>
        <w:tc>
          <w:tcPr>
            <w:tcW w:w="1319" w:type="dxa"/>
            <w:gridSpan w:val="2"/>
            <w:vAlign w:val="center"/>
          </w:tcPr>
          <w:p w14:paraId="3FDB22BE">
            <w:pPr>
              <w:widowControl/>
              <w:snapToGrid w:val="0"/>
              <w:jc w:val="center"/>
              <w:rPr>
                <w:rFonts w:hint="eastAsia" w:ascii="仿宋" w:hAnsi="仿宋" w:eastAsia="仿宋" w:cs="仿宋"/>
                <w:kern w:val="0"/>
                <w:lang w:val="en-US" w:eastAsia="zh-CN"/>
              </w:rPr>
            </w:pPr>
            <w:r>
              <w:rPr>
                <w:rFonts w:hint="eastAsia" w:ascii="仿宋" w:hAnsi="仿宋" w:eastAsia="仿宋" w:cs="仿宋"/>
                <w:kern w:val="0"/>
                <w:lang w:val="en-US" w:eastAsia="zh-CN"/>
              </w:rPr>
              <w:t>完成</w:t>
            </w:r>
          </w:p>
        </w:tc>
        <w:tc>
          <w:tcPr>
            <w:tcW w:w="877" w:type="dxa"/>
            <w:vAlign w:val="center"/>
          </w:tcPr>
          <w:p w14:paraId="4C226B51">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10</w:t>
            </w:r>
          </w:p>
        </w:tc>
      </w:tr>
      <w:tr w14:paraId="7716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14F6A28">
            <w:pPr>
              <w:snapToGrid w:val="0"/>
              <w:jc w:val="center"/>
              <w:rPr>
                <w:rFonts w:hint="eastAsia" w:ascii="仿宋" w:hAnsi="仿宋" w:eastAsia="仿宋" w:cs="仿宋"/>
                <w:kern w:val="0"/>
              </w:rPr>
            </w:pPr>
          </w:p>
        </w:tc>
        <w:tc>
          <w:tcPr>
            <w:tcW w:w="700" w:type="dxa"/>
            <w:vMerge w:val="continue"/>
            <w:vAlign w:val="center"/>
          </w:tcPr>
          <w:p w14:paraId="684EE75B">
            <w:pPr>
              <w:widowControl/>
              <w:snapToGrid w:val="0"/>
              <w:jc w:val="center"/>
              <w:rPr>
                <w:rFonts w:hint="eastAsia" w:ascii="仿宋" w:hAnsi="仿宋" w:eastAsia="仿宋" w:cs="仿宋"/>
                <w:kern w:val="0"/>
              </w:rPr>
            </w:pPr>
          </w:p>
        </w:tc>
        <w:tc>
          <w:tcPr>
            <w:tcW w:w="1122" w:type="dxa"/>
            <w:vMerge w:val="restart"/>
            <w:vAlign w:val="center"/>
          </w:tcPr>
          <w:p w14:paraId="36D3328C">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时效指标</w:t>
            </w:r>
          </w:p>
        </w:tc>
        <w:tc>
          <w:tcPr>
            <w:tcW w:w="2636" w:type="dxa"/>
            <w:gridSpan w:val="3"/>
            <w:vAlign w:val="center"/>
          </w:tcPr>
          <w:p w14:paraId="405F9997">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不定期开展监督管理、检查</w:t>
            </w:r>
          </w:p>
        </w:tc>
        <w:tc>
          <w:tcPr>
            <w:tcW w:w="1466" w:type="dxa"/>
            <w:vAlign w:val="center"/>
          </w:tcPr>
          <w:p w14:paraId="389D0C36">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80%</w:t>
            </w:r>
          </w:p>
        </w:tc>
        <w:tc>
          <w:tcPr>
            <w:tcW w:w="1319" w:type="dxa"/>
            <w:gridSpan w:val="2"/>
            <w:vAlign w:val="center"/>
          </w:tcPr>
          <w:p w14:paraId="21649035">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78%</w:t>
            </w:r>
          </w:p>
        </w:tc>
        <w:tc>
          <w:tcPr>
            <w:tcW w:w="877" w:type="dxa"/>
            <w:vAlign w:val="center"/>
          </w:tcPr>
          <w:p w14:paraId="315472E3">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7.8</w:t>
            </w:r>
          </w:p>
        </w:tc>
      </w:tr>
      <w:tr w14:paraId="321D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1A655F6B">
            <w:pPr>
              <w:snapToGrid w:val="0"/>
              <w:jc w:val="center"/>
              <w:rPr>
                <w:rFonts w:hint="eastAsia" w:ascii="仿宋" w:hAnsi="仿宋" w:eastAsia="仿宋" w:cs="仿宋"/>
                <w:kern w:val="0"/>
              </w:rPr>
            </w:pPr>
          </w:p>
        </w:tc>
        <w:tc>
          <w:tcPr>
            <w:tcW w:w="700" w:type="dxa"/>
            <w:vMerge w:val="continue"/>
            <w:vAlign w:val="center"/>
          </w:tcPr>
          <w:p w14:paraId="6FE216BC">
            <w:pPr>
              <w:widowControl/>
              <w:snapToGrid w:val="0"/>
              <w:jc w:val="center"/>
              <w:rPr>
                <w:rFonts w:hint="eastAsia" w:ascii="仿宋" w:hAnsi="仿宋" w:eastAsia="仿宋" w:cs="仿宋"/>
                <w:kern w:val="0"/>
              </w:rPr>
            </w:pPr>
          </w:p>
        </w:tc>
        <w:tc>
          <w:tcPr>
            <w:tcW w:w="1122" w:type="dxa"/>
            <w:vMerge w:val="continue"/>
            <w:vAlign w:val="center"/>
          </w:tcPr>
          <w:p w14:paraId="078E680C">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p>
        </w:tc>
        <w:tc>
          <w:tcPr>
            <w:tcW w:w="2636" w:type="dxa"/>
            <w:gridSpan w:val="3"/>
            <w:vAlign w:val="center"/>
          </w:tcPr>
          <w:p w14:paraId="6A5CD74E">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实现检测数据与中心数据库的无线网络同步传输</w:t>
            </w:r>
          </w:p>
        </w:tc>
        <w:tc>
          <w:tcPr>
            <w:tcW w:w="1466" w:type="dxa"/>
            <w:vAlign w:val="center"/>
          </w:tcPr>
          <w:p w14:paraId="7F66A450">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省市联网</w:t>
            </w:r>
          </w:p>
        </w:tc>
        <w:tc>
          <w:tcPr>
            <w:tcW w:w="1319" w:type="dxa"/>
            <w:gridSpan w:val="2"/>
            <w:vAlign w:val="center"/>
          </w:tcPr>
          <w:p w14:paraId="3CA2CBB4">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基本完成</w:t>
            </w:r>
          </w:p>
        </w:tc>
        <w:tc>
          <w:tcPr>
            <w:tcW w:w="877" w:type="dxa"/>
            <w:vAlign w:val="center"/>
          </w:tcPr>
          <w:p w14:paraId="3827C585">
            <w:pPr>
              <w:widowControl/>
              <w:snapToGrid w:val="0"/>
              <w:jc w:val="center"/>
              <w:rPr>
                <w:rFonts w:hint="eastAsia" w:ascii="仿宋" w:hAnsi="仿宋" w:eastAsia="仿宋" w:cs="仿宋"/>
                <w:kern w:val="0"/>
                <w:lang w:val="en-US" w:eastAsia="zh-CN"/>
              </w:rPr>
            </w:pPr>
            <w:r>
              <w:rPr>
                <w:rFonts w:hint="eastAsia" w:ascii="仿宋" w:hAnsi="仿宋" w:eastAsia="仿宋" w:cs="仿宋"/>
                <w:kern w:val="0"/>
                <w:lang w:val="en-US" w:eastAsia="zh-CN"/>
              </w:rPr>
              <w:t>9</w:t>
            </w:r>
          </w:p>
        </w:tc>
      </w:tr>
      <w:tr w14:paraId="6A20B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36A17331">
            <w:pPr>
              <w:widowControl/>
              <w:snapToGrid w:val="0"/>
              <w:jc w:val="center"/>
              <w:rPr>
                <w:rFonts w:hint="eastAsia" w:ascii="仿宋" w:hAnsi="仿宋" w:eastAsia="仿宋" w:cs="仿宋"/>
                <w:kern w:val="0"/>
              </w:rPr>
            </w:pPr>
          </w:p>
        </w:tc>
        <w:tc>
          <w:tcPr>
            <w:tcW w:w="700" w:type="dxa"/>
            <w:vMerge w:val="restart"/>
            <w:vAlign w:val="center"/>
          </w:tcPr>
          <w:p w14:paraId="6B1D55A9">
            <w:pPr>
              <w:snapToGrid w:val="0"/>
              <w:jc w:val="center"/>
              <w:rPr>
                <w:rFonts w:hint="eastAsia" w:ascii="仿宋" w:hAnsi="仿宋" w:eastAsia="仿宋" w:cs="仿宋"/>
                <w:kern w:val="0"/>
              </w:rPr>
            </w:pPr>
            <w:r>
              <w:rPr>
                <w:rFonts w:hint="eastAsia" w:ascii="仿宋" w:hAnsi="仿宋" w:eastAsia="仿宋" w:cs="仿宋"/>
                <w:kern w:val="0"/>
              </w:rPr>
              <w:t>效益指标</w:t>
            </w:r>
          </w:p>
        </w:tc>
        <w:tc>
          <w:tcPr>
            <w:tcW w:w="1122" w:type="dxa"/>
            <w:vAlign w:val="center"/>
          </w:tcPr>
          <w:p w14:paraId="15FAC218">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经济效益指标</w:t>
            </w:r>
          </w:p>
        </w:tc>
        <w:tc>
          <w:tcPr>
            <w:tcW w:w="2636" w:type="dxa"/>
            <w:gridSpan w:val="3"/>
            <w:vAlign w:val="center"/>
          </w:tcPr>
          <w:p w14:paraId="03D11712">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通过控制汽车尾气排放改善环境空气质量的变化，为后续柴油车改造、新能源车采购等提供信息，直接产生良好的经济效益。</w:t>
            </w:r>
          </w:p>
        </w:tc>
        <w:tc>
          <w:tcPr>
            <w:tcW w:w="1466" w:type="dxa"/>
            <w:vAlign w:val="center"/>
          </w:tcPr>
          <w:p w14:paraId="4C32DC01">
            <w:pPr>
              <w:widowControl/>
              <w:snapToGrid w:val="0"/>
              <w:jc w:val="center"/>
              <w:rPr>
                <w:rFonts w:hint="eastAsia" w:ascii="仿宋" w:hAnsi="仿宋" w:eastAsia="仿宋" w:cs="仿宋"/>
                <w:kern w:val="0"/>
                <w:lang w:val="en-US" w:eastAsia="zh-CN"/>
              </w:rPr>
            </w:pPr>
            <w:r>
              <w:rPr>
                <w:rFonts w:hint="eastAsia" w:ascii="仿宋" w:hAnsi="仿宋" w:eastAsia="仿宋" w:cs="仿宋"/>
                <w:kern w:val="0"/>
                <w:lang w:val="en-US" w:eastAsia="zh-CN"/>
              </w:rPr>
              <w:t>80%</w:t>
            </w:r>
          </w:p>
        </w:tc>
        <w:tc>
          <w:tcPr>
            <w:tcW w:w="1319" w:type="dxa"/>
            <w:gridSpan w:val="2"/>
            <w:vAlign w:val="center"/>
          </w:tcPr>
          <w:p w14:paraId="18CFE620">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80%</w:t>
            </w:r>
          </w:p>
        </w:tc>
        <w:tc>
          <w:tcPr>
            <w:tcW w:w="877" w:type="dxa"/>
            <w:vAlign w:val="center"/>
          </w:tcPr>
          <w:p w14:paraId="59650685">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10</w:t>
            </w:r>
          </w:p>
        </w:tc>
      </w:tr>
      <w:tr w14:paraId="32EC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6AA7FD23">
            <w:pPr>
              <w:widowControl/>
              <w:snapToGrid w:val="0"/>
              <w:jc w:val="center"/>
              <w:rPr>
                <w:rFonts w:hint="eastAsia" w:ascii="仿宋" w:hAnsi="仿宋" w:eastAsia="仿宋" w:cs="仿宋"/>
                <w:kern w:val="0"/>
              </w:rPr>
            </w:pPr>
          </w:p>
        </w:tc>
        <w:tc>
          <w:tcPr>
            <w:tcW w:w="700" w:type="dxa"/>
            <w:vMerge w:val="continue"/>
            <w:vAlign w:val="center"/>
          </w:tcPr>
          <w:p w14:paraId="06A51070">
            <w:pPr>
              <w:widowControl/>
              <w:snapToGrid w:val="0"/>
              <w:jc w:val="center"/>
              <w:rPr>
                <w:rFonts w:hint="eastAsia" w:ascii="仿宋" w:hAnsi="仿宋" w:eastAsia="仿宋" w:cs="仿宋"/>
                <w:kern w:val="0"/>
              </w:rPr>
            </w:pPr>
          </w:p>
        </w:tc>
        <w:tc>
          <w:tcPr>
            <w:tcW w:w="1122" w:type="dxa"/>
            <w:vAlign w:val="center"/>
          </w:tcPr>
          <w:p w14:paraId="1BBB32EF">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社会效益指标</w:t>
            </w:r>
          </w:p>
        </w:tc>
        <w:tc>
          <w:tcPr>
            <w:tcW w:w="2636" w:type="dxa"/>
            <w:gridSpan w:val="3"/>
            <w:vAlign w:val="center"/>
          </w:tcPr>
          <w:p w14:paraId="015DE7A0">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社会环境公众知晓率</w:t>
            </w:r>
          </w:p>
        </w:tc>
        <w:tc>
          <w:tcPr>
            <w:tcW w:w="1466" w:type="dxa"/>
            <w:vAlign w:val="center"/>
          </w:tcPr>
          <w:p w14:paraId="20D0E951">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90%</w:t>
            </w:r>
          </w:p>
        </w:tc>
        <w:tc>
          <w:tcPr>
            <w:tcW w:w="1319" w:type="dxa"/>
            <w:gridSpan w:val="2"/>
            <w:vAlign w:val="center"/>
          </w:tcPr>
          <w:p w14:paraId="16B9C776">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85%</w:t>
            </w:r>
          </w:p>
        </w:tc>
        <w:tc>
          <w:tcPr>
            <w:tcW w:w="877" w:type="dxa"/>
            <w:vAlign w:val="center"/>
          </w:tcPr>
          <w:p w14:paraId="3D592203">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8.5</w:t>
            </w:r>
          </w:p>
        </w:tc>
      </w:tr>
      <w:tr w14:paraId="3114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14:paraId="064AE979">
            <w:pPr>
              <w:widowControl/>
              <w:snapToGrid w:val="0"/>
              <w:jc w:val="center"/>
              <w:rPr>
                <w:rFonts w:hint="eastAsia" w:ascii="仿宋" w:hAnsi="仿宋" w:eastAsia="仿宋" w:cs="仿宋"/>
                <w:kern w:val="0"/>
              </w:rPr>
            </w:pPr>
          </w:p>
        </w:tc>
        <w:tc>
          <w:tcPr>
            <w:tcW w:w="700" w:type="dxa"/>
            <w:vAlign w:val="center"/>
          </w:tcPr>
          <w:p w14:paraId="6DC303F5">
            <w:pPr>
              <w:widowControl/>
              <w:snapToGrid w:val="0"/>
              <w:jc w:val="center"/>
              <w:rPr>
                <w:rFonts w:hint="eastAsia" w:ascii="仿宋" w:hAnsi="仿宋" w:eastAsia="仿宋" w:cs="仿宋"/>
                <w:kern w:val="0"/>
              </w:rPr>
            </w:pPr>
            <w:r>
              <w:rPr>
                <w:rFonts w:hint="eastAsia" w:ascii="仿宋" w:hAnsi="仿宋" w:eastAsia="仿宋" w:cs="仿宋"/>
                <w:kern w:val="0"/>
              </w:rPr>
              <w:t>满意度指标</w:t>
            </w:r>
          </w:p>
        </w:tc>
        <w:tc>
          <w:tcPr>
            <w:tcW w:w="1122" w:type="dxa"/>
            <w:vAlign w:val="center"/>
          </w:tcPr>
          <w:p w14:paraId="67611601">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具体指标</w:t>
            </w:r>
          </w:p>
        </w:tc>
        <w:tc>
          <w:tcPr>
            <w:tcW w:w="2636" w:type="dxa"/>
            <w:gridSpan w:val="3"/>
            <w:vAlign w:val="center"/>
          </w:tcPr>
          <w:p w14:paraId="5351AC48">
            <w:pPr>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项目建设完成后，对管辖范围内的移动源进行统一监管，统一核算，在环境资源管理上做到准确、及时</w:t>
            </w:r>
            <w:r>
              <w:rPr>
                <w:rFonts w:hint="eastAsia" w:ascii="仿宋" w:hAnsi="仿宋" w:eastAsia="仿宋" w:cs="仿宋"/>
                <w:color w:val="000000"/>
                <w:szCs w:val="21"/>
                <w:lang w:eastAsia="zh-CN"/>
              </w:rPr>
              <w:t>。</w:t>
            </w:r>
          </w:p>
        </w:tc>
        <w:tc>
          <w:tcPr>
            <w:tcW w:w="1466" w:type="dxa"/>
            <w:vAlign w:val="center"/>
          </w:tcPr>
          <w:p w14:paraId="5D74D18C">
            <w:pPr>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Cs w:val="21"/>
              </w:rPr>
              <w:t>提升效率</w:t>
            </w:r>
          </w:p>
        </w:tc>
        <w:tc>
          <w:tcPr>
            <w:tcW w:w="1319" w:type="dxa"/>
            <w:gridSpan w:val="2"/>
            <w:vAlign w:val="center"/>
          </w:tcPr>
          <w:p w14:paraId="38B81271">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95%</w:t>
            </w:r>
          </w:p>
        </w:tc>
        <w:tc>
          <w:tcPr>
            <w:tcW w:w="877" w:type="dxa"/>
            <w:vAlign w:val="center"/>
          </w:tcPr>
          <w:p w14:paraId="6B40E8A0">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9.5</w:t>
            </w:r>
          </w:p>
        </w:tc>
      </w:tr>
      <w:tr w14:paraId="779C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Align w:val="center"/>
          </w:tcPr>
          <w:p w14:paraId="602294DF">
            <w:pPr>
              <w:widowControl/>
              <w:snapToGrid w:val="0"/>
              <w:jc w:val="center"/>
              <w:rPr>
                <w:rFonts w:hint="eastAsia" w:ascii="仿宋" w:hAnsi="仿宋" w:eastAsia="仿宋" w:cs="仿宋"/>
                <w:kern w:val="0"/>
              </w:rPr>
            </w:pPr>
            <w:r>
              <w:rPr>
                <w:rFonts w:hint="eastAsia" w:ascii="仿宋" w:hAnsi="仿宋" w:eastAsia="仿宋" w:cs="仿宋"/>
                <w:kern w:val="0"/>
              </w:rPr>
              <w:t>总分</w:t>
            </w:r>
          </w:p>
        </w:tc>
        <w:tc>
          <w:tcPr>
            <w:tcW w:w="8120" w:type="dxa"/>
            <w:gridSpan w:val="9"/>
            <w:vAlign w:val="center"/>
          </w:tcPr>
          <w:p w14:paraId="16A037EF">
            <w:pPr>
              <w:widowControl/>
              <w:snapToGrid w:val="0"/>
              <w:jc w:val="center"/>
              <w:rPr>
                <w:rFonts w:hint="default" w:ascii="仿宋" w:hAnsi="仿宋" w:eastAsia="仿宋" w:cs="仿宋"/>
                <w:kern w:val="0"/>
                <w:lang w:val="en-US" w:eastAsia="zh-CN"/>
              </w:rPr>
            </w:pPr>
            <w:r>
              <w:rPr>
                <w:rFonts w:hint="eastAsia" w:ascii="仿宋" w:hAnsi="仿宋" w:eastAsia="仿宋" w:cs="仿宋"/>
                <w:kern w:val="0"/>
                <w:lang w:val="en-US" w:eastAsia="zh-CN"/>
              </w:rPr>
              <w:t>93.8</w:t>
            </w:r>
          </w:p>
        </w:tc>
      </w:tr>
      <w:tr w14:paraId="0E0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1528" w:type="dxa"/>
            <w:gridSpan w:val="2"/>
            <w:vAlign w:val="center"/>
          </w:tcPr>
          <w:p w14:paraId="762072FB">
            <w:pPr>
              <w:widowControl/>
              <w:jc w:val="center"/>
              <w:rPr>
                <w:rFonts w:hint="eastAsia" w:ascii="仿宋" w:hAnsi="仿宋" w:eastAsia="仿宋" w:cs="仿宋"/>
                <w:kern w:val="0"/>
              </w:rPr>
            </w:pPr>
            <w:r>
              <w:rPr>
                <w:rFonts w:hint="eastAsia" w:ascii="仿宋" w:hAnsi="仿宋" w:eastAsia="仿宋" w:cs="仿宋"/>
                <w:kern w:val="0"/>
              </w:rPr>
              <w:t>偏差大或</w:t>
            </w:r>
          </w:p>
          <w:p w14:paraId="47DC208A">
            <w:pPr>
              <w:widowControl/>
              <w:jc w:val="center"/>
              <w:rPr>
                <w:rFonts w:hint="eastAsia" w:ascii="仿宋" w:hAnsi="仿宋" w:eastAsia="仿宋" w:cs="仿宋"/>
                <w:kern w:val="0"/>
              </w:rPr>
            </w:pPr>
            <w:r>
              <w:rPr>
                <w:rFonts w:hint="eastAsia" w:ascii="仿宋" w:hAnsi="仿宋" w:eastAsia="仿宋" w:cs="仿宋"/>
                <w:kern w:val="0"/>
              </w:rPr>
              <w:t>目标未完成</w:t>
            </w:r>
          </w:p>
          <w:p w14:paraId="5AE7FF59">
            <w:pPr>
              <w:widowControl/>
              <w:jc w:val="center"/>
              <w:rPr>
                <w:rFonts w:hint="eastAsia" w:ascii="仿宋" w:hAnsi="仿宋" w:eastAsia="仿宋" w:cs="仿宋"/>
                <w:kern w:val="0"/>
              </w:rPr>
            </w:pPr>
            <w:r>
              <w:rPr>
                <w:rFonts w:hint="eastAsia" w:ascii="仿宋" w:hAnsi="仿宋" w:eastAsia="仿宋" w:cs="仿宋"/>
                <w:kern w:val="0"/>
              </w:rPr>
              <w:t>原因分析</w:t>
            </w:r>
          </w:p>
        </w:tc>
        <w:tc>
          <w:tcPr>
            <w:tcW w:w="7420" w:type="dxa"/>
            <w:gridSpan w:val="8"/>
            <w:vAlign w:val="center"/>
          </w:tcPr>
          <w:p w14:paraId="54A4707C">
            <w:pPr>
              <w:widowControl/>
              <w:jc w:val="left"/>
              <w:rPr>
                <w:rFonts w:hint="eastAsia" w:ascii="仿宋" w:hAnsi="仿宋" w:eastAsia="仿宋" w:cs="仿宋"/>
                <w:kern w:val="0"/>
                <w:lang w:eastAsia="zh-CN"/>
              </w:rPr>
            </w:pPr>
          </w:p>
        </w:tc>
      </w:tr>
      <w:tr w14:paraId="7B55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528" w:type="dxa"/>
            <w:gridSpan w:val="2"/>
            <w:vAlign w:val="center"/>
          </w:tcPr>
          <w:p w14:paraId="55C8C80E">
            <w:pPr>
              <w:widowControl/>
              <w:jc w:val="center"/>
              <w:rPr>
                <w:rFonts w:hint="eastAsia" w:ascii="仿宋" w:hAnsi="仿宋" w:eastAsia="仿宋" w:cs="仿宋"/>
                <w:kern w:val="0"/>
              </w:rPr>
            </w:pPr>
            <w:r>
              <w:rPr>
                <w:rFonts w:hint="eastAsia" w:ascii="仿宋" w:hAnsi="仿宋" w:eastAsia="仿宋" w:cs="仿宋"/>
                <w:kern w:val="0"/>
              </w:rPr>
              <w:t>改进措施及</w:t>
            </w:r>
          </w:p>
          <w:p w14:paraId="11020287">
            <w:pPr>
              <w:widowControl/>
              <w:jc w:val="center"/>
              <w:rPr>
                <w:rFonts w:hint="eastAsia" w:ascii="仿宋" w:hAnsi="仿宋" w:eastAsia="仿宋" w:cs="仿宋"/>
                <w:kern w:val="0"/>
              </w:rPr>
            </w:pPr>
            <w:r>
              <w:rPr>
                <w:rFonts w:hint="eastAsia" w:ascii="仿宋" w:hAnsi="仿宋" w:eastAsia="仿宋" w:cs="仿宋"/>
                <w:kern w:val="0"/>
              </w:rPr>
              <w:t>结果应用方案</w:t>
            </w:r>
          </w:p>
        </w:tc>
        <w:tc>
          <w:tcPr>
            <w:tcW w:w="7420" w:type="dxa"/>
            <w:gridSpan w:val="8"/>
            <w:vAlign w:val="center"/>
          </w:tcPr>
          <w:p w14:paraId="11ED5FA4">
            <w:pPr>
              <w:widowControl/>
              <w:jc w:val="left"/>
              <w:rPr>
                <w:rFonts w:hint="eastAsia" w:ascii="仿宋" w:hAnsi="仿宋" w:eastAsia="仿宋" w:cs="仿宋"/>
                <w:kern w:val="0"/>
              </w:rPr>
            </w:pPr>
            <w:r>
              <w:rPr>
                <w:rFonts w:hint="eastAsia" w:ascii="仿宋" w:hAnsi="仿宋" w:eastAsia="仿宋" w:cs="仿宋"/>
                <w:kern w:val="0"/>
              </w:rPr>
              <w:t>适时依政策变化及时调整预算资金项目，提高专项资金执行率</w:t>
            </w:r>
            <w:bookmarkStart w:id="0" w:name="_GoBack"/>
            <w:bookmarkEnd w:id="0"/>
            <w:r>
              <w:rPr>
                <w:rFonts w:hint="eastAsia" w:ascii="仿宋" w:hAnsi="仿宋" w:eastAsia="仿宋" w:cs="仿宋"/>
                <w:kern w:val="0"/>
              </w:rPr>
              <w:t>及使用效率，避免资金闲置浪费</w:t>
            </w:r>
            <w:r>
              <w:rPr>
                <w:rFonts w:hint="eastAsia" w:ascii="仿宋" w:hAnsi="仿宋" w:eastAsia="仿宋" w:cs="仿宋"/>
                <w:kern w:val="0"/>
                <w:lang w:eastAsia="zh-CN"/>
              </w:rPr>
              <w:t>，</w:t>
            </w:r>
            <w:r>
              <w:rPr>
                <w:rFonts w:hint="eastAsia" w:ascii="仿宋" w:hAnsi="仿宋" w:eastAsia="仿宋" w:cs="仿宋"/>
                <w:kern w:val="0"/>
              </w:rPr>
              <w:t>积极主动做好部门间的协调工作。</w:t>
            </w:r>
          </w:p>
        </w:tc>
      </w:tr>
    </w:tbl>
    <w:p w14:paraId="3D9CC77D">
      <w:pPr>
        <w:widowControl/>
        <w:rPr>
          <w:rFonts w:ascii="仿宋_GB2312" w:hAnsi="宋体" w:eastAsia="仿宋_GB2312"/>
          <w:kern w:val="0"/>
        </w:rPr>
      </w:pPr>
      <w:r>
        <w:rPr>
          <w:rFonts w:hint="eastAsia" w:ascii="仿宋_GB2312" w:hAnsi="宋体" w:eastAsia="仿宋_GB2312" w:cs="仿宋_GB2312"/>
          <w:kern w:val="0"/>
        </w:rPr>
        <w:t>备注：</w:t>
      </w:r>
    </w:p>
    <w:p w14:paraId="636745BE">
      <w:pPr>
        <w:widowControl/>
        <w:rPr>
          <w:rFonts w:hint="eastAsia" w:ascii="仿宋" w:hAnsi="仿宋" w:eastAsia="仿宋" w:cs="仿宋"/>
          <w:kern w:val="0"/>
        </w:rPr>
      </w:pPr>
      <w:r>
        <w:rPr>
          <w:rFonts w:hint="eastAsia" w:ascii="仿宋" w:hAnsi="仿宋" w:eastAsia="仿宋" w:cs="仿宋"/>
          <w:kern w:val="0"/>
        </w:rPr>
        <w:t>1.预算执行情况口径：预算数为调整后财政资金总额（包括上年结余结转），执行数为资金使用单位财政资金实际支出数。涉及政府采购的项目支出要设置相关绩效指标反映政府采购管理情况。</w:t>
      </w:r>
    </w:p>
    <w:p w14:paraId="072DED29">
      <w:pPr>
        <w:rPr>
          <w:rFonts w:hint="eastAsia" w:ascii="仿宋" w:hAnsi="仿宋" w:eastAsia="仿宋" w:cs="仿宋"/>
          <w:kern w:val="0"/>
        </w:rPr>
      </w:pPr>
      <w:r>
        <w:rPr>
          <w:rFonts w:hint="eastAsia" w:ascii="仿宋" w:hAnsi="仿宋" w:eastAsia="仿宋" w:cs="仿宋"/>
          <w:kern w:val="0"/>
          <w:lang w:val="en-US" w:eastAsia="zh-CN"/>
        </w:rPr>
        <w:t>2</w:t>
      </w:r>
      <w:r>
        <w:rPr>
          <w:rFonts w:hint="eastAsia" w:ascii="仿宋" w:hAnsi="仿宋" w:eastAsia="仿宋" w:cs="仿宋"/>
          <w:kern w:val="0"/>
        </w:rPr>
        <w:t>.基于经济性和必要性等因素考虑，满意度指标暂可不作为必评指标。</w:t>
      </w:r>
    </w:p>
    <w:p w14:paraId="2A6201FD">
      <w:pPr>
        <w:rPr>
          <w:rFonts w:hint="eastAsia" w:ascii="仿宋" w:hAnsi="仿宋" w:eastAsia="仿宋" w:cs="仿宋"/>
          <w:kern w:val="0"/>
        </w:rPr>
      </w:pPr>
      <w:r>
        <w:rPr>
          <w:rFonts w:hint="eastAsia" w:ascii="仿宋" w:hAnsi="仿宋" w:eastAsia="仿宋" w:cs="仿宋"/>
          <w:kern w:val="0"/>
          <w:lang w:val="en-US" w:eastAsia="zh-CN"/>
        </w:rPr>
        <w:t>3</w:t>
      </w:r>
      <w:r>
        <w:rPr>
          <w:rFonts w:hint="eastAsia" w:ascii="仿宋" w:hAnsi="仿宋" w:eastAsia="仿宋" w:cs="仿宋"/>
          <w:kern w:val="0"/>
        </w:rPr>
        <w:t>.涉及政府采购的项目支出应设置相关政府采购指标。</w:t>
      </w:r>
    </w:p>
    <w:p w14:paraId="5940E9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MjQyOWMwOTQ4OWQ5ODYxODAwZWFkYjZkMGNmNGMifQ=="/>
  </w:docVars>
  <w:rsids>
    <w:rsidRoot w:val="2D071A4E"/>
    <w:rsid w:val="1BA923DC"/>
    <w:rsid w:val="298F3DBD"/>
    <w:rsid w:val="2D07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1047</Words>
  <Characters>1131</Characters>
  <Lines>0</Lines>
  <Paragraphs>0</Paragraphs>
  <TotalTime>10</TotalTime>
  <ScaleCrop>false</ScaleCrop>
  <LinksUpToDate>false</LinksUpToDate>
  <CharactersWithSpaces>1168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2023-11-16T03:28:00Z</dcterms:created>
  <dc:creator>WPS_1658371950</dc:creator>
  <cp:lastModifiedBy>WPS_1658371950</cp:lastModifiedBy>
  <dcterms:modified xsi:type="dcterms:W3CDTF">2025-09-28T08:27:23Z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63A1A3DEA09F4E4991036A92AC08FD07_13</vt:lpwstr>
  </property>
  <property fmtid="{D5CDD505-2E9C-101B-9397-08002B2CF9AE}" pid="4" name="KSOTemplateDocerSaveRecord">
    <vt:lpwstr>eyJoZGlkIjoiNTkwMjQyOWMwOTQ4OWQ5ODYxODAwZWFkYjZkMGNmNGMiLCJ1c2VySWQiOiIxMzkwNzcyMzk2In0=</vt:lpwstr>
  </property>
</Properties>
</file>